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中小企业融资、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租赁准入行业及要求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全国地区可做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(工商类光伏发电不需要配比资金全额投资)(充电桩需要配比15%资金剩余85%我们直投)100万-1000万均可做。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融资金额：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小微企业营业收入1500万-8000万，融资金额100万-1000万额度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融资金额：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中大型企业营业收入1亿至5亿，融资金额1000万-5亿额度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大湾区域: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民营学校，幼儿园，养殖业，驾校，连锁店，经营满三年营业收入2000万以上均可准入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医疗行业营收账款质押：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不确权，不上征信，五折放款，全国可做。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项目优选A类: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风电，垃圾发电，余热回收，燃气管道，燃气生产，科技类加工制造业，水电站，能源类，连锁酒店，工程类居民供暖，光伏发电，物质发电，仓储物，化工类企业。物流冷链，农业，储能，经营性租赁比如塔吊，运输设备，车，挖掘机等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投资方向类：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工炼油加工企业，大型冷库，信息类;数据中心，通讯基站，养殖深加工企业，新材料企业，制造加工企业，电子行业，食品生产加工企业，幼儿园民营中学，高中，院校，教培，驾校，连锁店，民营医院,医疗机构，新能源汽车，钢铁，水泥，航运，城市轨道，船舶，加油站，槊料加工企业，金属加工企业，磨具工程机械配套设备企业，印刷包装设备企业，瓦楞纸企业，汽车零配件企业，电路板，电线企业，计算机通信电子制造业，医疗健康，化学药厂，人工智能半导体，医疗器材,锂电池产业链，特高压，智慧城市电脑，风电，光电，储能生物质发电，垃圾发电，固废，危废，石油化工，煤化工，精细化工，冷库，燃气供暖，供水，农业深加工，食品行业，冷链物流，生物医药，医疗器材企业，医院民营学校，医药连锁店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物流园及批发市场类: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租赁的不考虑，经营满三年，收入稳定，资产规模5000万以上，租金收入2000万以上。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投资方式: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设备质押(直租+回租两种模式)根据企业营业收入及设备价值负债情况最终确定贷款金额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优势1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：(融资租赁公司行业成本最低年化4%-5%，无保证金，季度还款，递减)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优势2：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成本低，全国可做，金额大，行业多，审批全程无任何费用，自费尽调，自费住宿。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GE1N2I3YzkzYzg1Njc4ZjEyYTNlZWUxNGE0NDcifQ=="/>
  </w:docVars>
  <w:rsids>
    <w:rsidRoot w:val="00000000"/>
    <w:rsid w:val="014843C0"/>
    <w:rsid w:val="522A00A3"/>
    <w:rsid w:val="5E6F0275"/>
    <w:rsid w:val="6DA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853</Characters>
  <Lines>0</Lines>
  <Paragraphs>0</Paragraphs>
  <TotalTime>20</TotalTime>
  <ScaleCrop>false</ScaleCrop>
  <LinksUpToDate>false</LinksUpToDate>
  <CharactersWithSpaces>867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2024-08-05T09:26:00Z</dcterms:created>
  <dc:creator>13479</dc:creator>
  <cp:lastModifiedBy>中小企业新疆服务中心</cp:lastModifiedBy>
  <dcterms:modified xsi:type="dcterms:W3CDTF">2024-08-05T09:59:11Z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97099819E92B44219D37D6291AB8DBFE_12</vt:lpwstr>
  </property>
</Properties>
</file>