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随着7月1日《新公司法》的实施，企业注册资金认缴转为实缴任务已迫在眉睫！现已正式接单，采用知识产权增资，安全合法快捷，一般10天，加急5天，完成国家企业信用信息公示系统公示。</w:t>
      </w:r>
    </w:p>
    <w:p>
      <w:pPr>
        <w:ind w:firstLine="420" w:firstLineChars="200"/>
        <w:rPr>
          <w:rFonts w:hint="eastAsia" w:asciiTheme="majorEastAsia" w:hAnsiTheme="majorEastAsia" w:eastAsiaTheme="majorEastAsia" w:cstheme="majorEastAsia"/>
        </w:rPr>
      </w:pPr>
      <w:bookmarkStart w:id="0" w:name="_GoBack"/>
      <w:bookmarkEnd w:id="0"/>
      <w:r>
        <w:rPr>
          <w:rFonts w:hint="eastAsia" w:asciiTheme="majorEastAsia" w:hAnsiTheme="majorEastAsia" w:eastAsiaTheme="majorEastAsia" w:cstheme="majorEastAsia"/>
        </w:rPr>
        <w:t>我们提供一站式服务，公示后为您提供知识产权评估报告、验资报告，无需企业更多配合，提供营业执照、法人和股东身份证即可。涉诉、被执行企业不影响实缴资金认证。</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特别提醒：已有部分省份拟规定知识产权增资只能占比70%，企业家朋友要抓紧时间了，全国可做。</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知识产权和无形资产实缴的好处主要体现在以下几个方面：</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提升公司价值和信誉度</w:t>
      </w:r>
      <w:r>
        <w:rPr>
          <w:rFonts w:hint="eastAsia" w:asciiTheme="majorEastAsia" w:hAnsiTheme="majorEastAsia" w:eastAsiaTheme="majorEastAsia" w:cstheme="majorEastAsia"/>
        </w:rPr>
        <w:t>：通过知识产权和无形资产实缴，企业可以在不增加现金流出的情况下，提升公司的注册资本和市场信誉。这有助于增强投资者对企业的信心，吸引更多的外部资金。</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优化财务结构</w:t>
      </w:r>
      <w:r>
        <w:rPr>
          <w:rFonts w:hint="eastAsia" w:asciiTheme="majorEastAsia" w:hAnsiTheme="majorEastAsia" w:eastAsiaTheme="majorEastAsia" w:cstheme="majorEastAsia"/>
        </w:rPr>
        <w:t>：实缴知识产权和无形资产可以使企业更合理地安排资金使用，优化财务结构。它解决了企业投入全部货币资金的困难，可以腾出部分货币资金用于企业日常运营或继续开发新技术。</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税务优惠</w:t>
      </w:r>
      <w:r>
        <w:rPr>
          <w:rFonts w:hint="eastAsia" w:asciiTheme="majorEastAsia" w:hAnsiTheme="majorEastAsia" w:eastAsiaTheme="majorEastAsia" w:cstheme="majorEastAsia"/>
        </w:rPr>
        <w:t>：知识产权和无形资产入股可以通过合理的会计处理，实现税务优惠，减轻税负。例如，无形资产出资可以正常入账，并在一定年限内摊销，从而合法减少企业所得税。</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风险规避与赔偿：实缴知识产权和无形资产后，企业在遇到经营风险或债务纠纷时，股东的个人资产相对更加安全。同时，知识产权也可以作为赔偿资产，提供更多的赔偿方式选择，帮助企业承担相应的社会责任。</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u w:val="single"/>
        </w:rPr>
        <w:t>增加融资与竞标筹码</w:t>
      </w:r>
      <w:r>
        <w:rPr>
          <w:rFonts w:hint="eastAsia" w:asciiTheme="majorEastAsia" w:hAnsiTheme="majorEastAsia" w:eastAsiaTheme="majorEastAsia" w:cstheme="majorEastAsia"/>
        </w:rPr>
        <w:t>：实缴注册资本有助于企业在融资过程中更容易被筛选和获得投资。此外，在竞标和招投标过程中，知识产权和无形资产的实缴能够增加企业的中标筹码，提升竞争力。</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综上所述，知识产权和无形资产实缴不仅有助于提升企业的价值和信誉度，还能优化财务结构、减轻税务负担、规避风险，并增加融资与竞标筹码。这些好处使得越来越多的企业倾向于选择知识产权和无形资产实缴作为增强自身实力和市场竞争力的重要手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TQxOGM0YjQ2YmUxZWRiOGFkYjBiZjMyNzdjZTAifQ=="/>
  </w:docVars>
  <w:rsids>
    <w:rsidRoot w:val="00000000"/>
    <w:rsid w:val="5127512C"/>
    <w:rsid w:val="572F1E4B"/>
    <w:rsid w:val="627E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2024-06-03T14:47:00Z</dcterms:created>
  <dc:creator>1</dc:creator>
  <cp:lastModifiedBy>admin</cp:lastModifiedBy>
  <dcterms:modified xsi:type="dcterms:W3CDTF">2024-07-31T05:02:03Z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1D0287BCA63F4106B62171AF07D85CFA_12</vt:lpwstr>
  </property>
</Properties>
</file>