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0" w:firstLineChars="300"/>
        <w:rPr>
          <w:rFonts w:hint="eastAsia"/>
          <w:sz w:val="36"/>
          <w:szCs w:val="36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各种生产制造类企业</w:t>
      </w:r>
      <w:r>
        <w:rPr>
          <w:rFonts w:hint="eastAsia"/>
          <w:sz w:val="36"/>
          <w:szCs w:val="36"/>
        </w:rPr>
        <w:t>融资产品介绍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投资行业:各种生产制造类企业(各类飞机、汽车、电器等零部件制造、制鞋厂、织袜厂、化工厂、制药厂、棉纺厂、服装厂、各类金属制造厂、铝、铜、不锈钢型材加工厂等)。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一、产品政策</w:t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1、资金背景:央企金融企业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2、资金规模:1200亿资产规模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3、模式:设备融资(类似银行房产抵押贷款)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4、对项目要求:建成已投产满3年的企业、本年度开票收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入1亿以上，利润1千万以上，近三年收入稳健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5、额度:500万-10000万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6、年化利率:7%-8%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7、贷款期限:3年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8、还款方式:比如借1亿，借款时间3年，每年还款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20%=3330万(每个季度还款823万)，还掉部分不计利息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9、风控要求:设备抵押+实控人担保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10、前期费用:无任何前期费用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11、项目准入区域:全国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二、产品优势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1、额度大，最高设备价值的70%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2、资金灵活，效率高，接触至放款最快2周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3、专注于制造业，对产业理解更深刻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4、央企背景资金，资金稳定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三、项目准入标准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1、区域：全国展业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2、项目要求：新建项目需完成固定资产投资具备投产条件;改建扩建项目需手续齐全具备开工条件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3、期限3年-5年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4、行业：清洁能源.再生资源循环经济、节能环保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5、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项目规模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：单一项目投资不超过20亿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6、合规要求：项目中标通知书、相关协议、可研、能评、环评等文件。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yMGE1N2I3YzkzYzg1Njc4ZjEyYTNlZWUxNGE0NDcifQ=="/>
  </w:docVars>
  <w:rsids>
    <w:rsidRoot w:val="00000000"/>
    <w:rsid w:val="3EA20535"/>
    <w:rsid w:val="5086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2024-08-05T11:40:00Z</dcterms:created>
  <dc:creator>13479</dc:creator>
  <cp:lastModifiedBy>中小企业新疆服务中心</cp:lastModifiedBy>
  <dcterms:modified xsi:type="dcterms:W3CDTF">2024-08-06T07:42:06Z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893573A402704C3C9A7CAAF829D135A9_12</vt:lpwstr>
  </property>
</Properties>
</file>