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outlineLvl w:val="0"/>
        <w:rPr>
          <w:rFonts w:hint="default" w:ascii="Times New Roman" w:hAnsi="Times New Roman" w:cs="Times New Roman"/>
          <w:b/>
          <w:bCs/>
          <w:color w:val="auto"/>
          <w:spacing w:val="-8"/>
          <w:sz w:val="28"/>
          <w:szCs w:val="28"/>
          <w:highlight w:val="none"/>
        </w:rPr>
      </w:pPr>
      <w:r>
        <w:rPr>
          <w:rFonts w:hint="default" w:ascii="Times New Roman" w:hAnsi="Times New Roman" w:cs="Times New Roman"/>
          <w:b/>
          <w:bCs/>
          <w:color w:val="auto"/>
          <w:spacing w:val="-8"/>
          <w:sz w:val="28"/>
          <w:szCs w:val="28"/>
          <w:highlight w:val="none"/>
          <w:lang w:eastAsia="zh-CN"/>
        </w:rPr>
        <w:t>山东瑞兴阻燃科技有限公司16000吨（二期工程8000吨/年）高效磷酸酯阻燃剂建设项目</w:t>
      </w:r>
      <w:r>
        <w:rPr>
          <w:rFonts w:hint="default" w:ascii="Times New Roman" w:hAnsi="Times New Roman" w:cs="Times New Roman"/>
          <w:b/>
          <w:bCs/>
          <w:color w:val="auto"/>
          <w:spacing w:val="-8"/>
          <w:sz w:val="28"/>
          <w:szCs w:val="28"/>
          <w:highlight w:val="none"/>
        </w:rPr>
        <w:t>竣工环境保护验收意见</w:t>
      </w:r>
    </w:p>
    <w:p>
      <w:pPr>
        <w:adjustRightInd w:val="0"/>
        <w:ind w:firstLine="480"/>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2024年4月20</w:t>
      </w:r>
      <w:r>
        <w:rPr>
          <w:rFonts w:hint="default" w:ascii="Times New Roman" w:hAnsi="Times New Roman" w:cs="Times New Roman"/>
          <w:color w:val="auto"/>
          <w:szCs w:val="24"/>
          <w:highlight w:val="none"/>
        </w:rPr>
        <w:t>日，</w:t>
      </w:r>
      <w:r>
        <w:rPr>
          <w:rFonts w:hint="eastAsia" w:cs="Times New Roman"/>
          <w:color w:val="auto"/>
          <w:szCs w:val="24"/>
          <w:highlight w:val="none"/>
          <w:lang w:val="en-US" w:eastAsia="zh-CN"/>
        </w:rPr>
        <w:t>山东瑞兴阻燃科技有限公司</w:t>
      </w:r>
      <w:r>
        <w:rPr>
          <w:rFonts w:hint="default" w:ascii="Times New Roman" w:hAnsi="Times New Roman" w:cs="Times New Roman"/>
          <w:color w:val="auto"/>
          <w:szCs w:val="24"/>
          <w:highlight w:val="none"/>
        </w:rPr>
        <w:t>组织召开了</w:t>
      </w:r>
      <w:r>
        <w:rPr>
          <w:rFonts w:hint="default" w:ascii="Times New Roman" w:hAnsi="Times New Roman" w:cs="Times New Roman"/>
          <w:color w:val="auto"/>
          <w:szCs w:val="24"/>
          <w:highlight w:val="none"/>
          <w:lang w:eastAsia="zh-CN"/>
        </w:rPr>
        <w:t>山东瑞兴阻燃科技有限公司16000吨（二期工程8000吨/年）高效磷酸酯阻燃剂建设项目</w:t>
      </w:r>
      <w:r>
        <w:rPr>
          <w:rFonts w:hint="default" w:ascii="Times New Roman" w:hAnsi="Times New Roman" w:cs="Times New Roman"/>
          <w:color w:val="auto"/>
          <w:szCs w:val="24"/>
          <w:highlight w:val="none"/>
        </w:rPr>
        <w:t>竣工环境保护验收会议。</w:t>
      </w:r>
    </w:p>
    <w:p>
      <w:pPr>
        <w:adjustRightInd w:val="0"/>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验收会</w:t>
      </w:r>
      <w:r>
        <w:rPr>
          <w:rFonts w:hint="default" w:ascii="Times New Roman" w:hAnsi="Times New Roman" w:cs="Times New Roman"/>
          <w:color w:val="auto"/>
          <w:szCs w:val="24"/>
          <w:highlight w:val="none"/>
          <w:lang w:eastAsia="zh-CN"/>
        </w:rPr>
        <w:t>议</w:t>
      </w:r>
      <w:r>
        <w:rPr>
          <w:rFonts w:hint="default" w:ascii="Times New Roman" w:hAnsi="Times New Roman" w:cs="Times New Roman"/>
          <w:color w:val="auto"/>
          <w:szCs w:val="24"/>
          <w:highlight w:val="none"/>
        </w:rPr>
        <w:t>由</w:t>
      </w:r>
      <w:r>
        <w:rPr>
          <w:rFonts w:hint="eastAsia" w:cs="Times New Roman"/>
          <w:color w:val="auto"/>
          <w:szCs w:val="24"/>
          <w:highlight w:val="none"/>
          <w:lang w:eastAsia="zh-CN"/>
        </w:rPr>
        <w:t>山东瑞兴阻燃科技有限公司</w:t>
      </w:r>
      <w:r>
        <w:rPr>
          <w:rFonts w:hint="default" w:ascii="Times New Roman" w:hAnsi="Times New Roman" w:cs="Times New Roman"/>
          <w:color w:val="auto"/>
          <w:szCs w:val="24"/>
          <w:highlight w:val="none"/>
        </w:rPr>
        <w:t>主持，会议成立了由建设单位</w:t>
      </w:r>
      <w:r>
        <w:rPr>
          <w:rFonts w:hint="eastAsia" w:cs="Times New Roman"/>
          <w:color w:val="auto"/>
          <w:szCs w:val="24"/>
          <w:highlight w:val="none"/>
          <w:lang w:val="en-US" w:eastAsia="zh-CN"/>
        </w:rPr>
        <w:t>及验收报告编制单位</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山东瑞兴阻燃科技有限公司</w:t>
      </w:r>
      <w:r>
        <w:rPr>
          <w:rFonts w:hint="default" w:ascii="Times New Roman" w:hAnsi="Times New Roman" w:cs="Times New Roman"/>
          <w:color w:val="auto"/>
          <w:szCs w:val="24"/>
          <w:highlight w:val="none"/>
        </w:rPr>
        <w:t>、验收报告检测单位-</w:t>
      </w:r>
      <w:r>
        <w:rPr>
          <w:rFonts w:hint="eastAsia" w:cs="Times New Roman"/>
          <w:color w:val="auto"/>
          <w:szCs w:val="24"/>
          <w:highlight w:val="none"/>
          <w:lang w:val="en-US" w:eastAsia="zh-CN"/>
        </w:rPr>
        <w:t>山东融通环保检测技术有限公司</w:t>
      </w:r>
      <w:r>
        <w:rPr>
          <w:rFonts w:hint="default" w:ascii="Times New Roman" w:hAnsi="Times New Roman" w:cs="Times New Roman"/>
          <w:color w:val="auto"/>
          <w:szCs w:val="24"/>
          <w:highlight w:val="none"/>
        </w:rPr>
        <w:t>、环境影响评价单位—</w:t>
      </w:r>
      <w:r>
        <w:rPr>
          <w:rFonts w:hint="eastAsia" w:cs="Times New Roman"/>
          <w:color w:val="auto"/>
          <w:sz w:val="24"/>
          <w:highlight w:val="none"/>
          <w:lang w:val="en-US" w:eastAsia="zh-CN"/>
        </w:rPr>
        <w:t>山东益源环保科技</w:t>
      </w:r>
      <w:r>
        <w:rPr>
          <w:rFonts w:hint="default" w:ascii="Times New Roman" w:hAnsi="Times New Roman" w:cs="Times New Roman"/>
          <w:color w:val="auto"/>
          <w:sz w:val="24"/>
          <w:highlight w:val="none"/>
          <w:lang w:eastAsia="zh-CN"/>
        </w:rPr>
        <w:t>有限公司</w:t>
      </w:r>
      <w:r>
        <w:rPr>
          <w:rFonts w:hint="default" w:ascii="Times New Roman" w:hAnsi="Times New Roman" w:cs="Times New Roman"/>
          <w:color w:val="auto"/>
          <w:szCs w:val="24"/>
          <w:highlight w:val="none"/>
        </w:rPr>
        <w:t>等单位代表和</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名专业技术专家组成的验收工作组</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名单附后</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w:t>
      </w:r>
    </w:p>
    <w:p>
      <w:pPr>
        <w:adjustRightInd w:val="0"/>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验收工作组现场检查了项目环境保护设施的建设和运行情况，听取了建设单位对项目及环境保护执行情况的介绍和验收报告编制单位关于项目竣工环境保护验收检测、调查、核查情况的汇报，审阅并核实了相关资料。</w:t>
      </w:r>
    </w:p>
    <w:p>
      <w:pPr>
        <w:ind w:firstLine="480"/>
        <w:jc w:val="left"/>
        <w:rPr>
          <w:rFonts w:hint="default" w:ascii="Times New Roman" w:hAnsi="Times New Roman" w:cs="Times New Roman"/>
          <w:color w:val="auto"/>
          <w:szCs w:val="24"/>
          <w:highlight w:val="none"/>
        </w:rPr>
      </w:pPr>
      <w:r>
        <w:rPr>
          <w:rFonts w:hint="eastAsia" w:cs="Times New Roman"/>
          <w:color w:val="auto"/>
          <w:szCs w:val="24"/>
          <w:highlight w:val="none"/>
          <w:lang w:eastAsia="zh-CN"/>
        </w:rPr>
        <w:t>山东瑞兴阻燃科技有限公司</w:t>
      </w:r>
      <w:r>
        <w:rPr>
          <w:rFonts w:hint="default" w:ascii="Times New Roman" w:hAnsi="Times New Roman" w:cs="Times New Roman"/>
          <w:color w:val="auto"/>
          <w:szCs w:val="24"/>
          <w:highlight w:val="none"/>
        </w:rPr>
        <w:t>依照国家有关法律法规、《建设项目竣工环境保护验收暂行办法》《建设项目竣工环境保护验收技术指南 污染影响类》之规定，并对照项目环境影响报告书及环评批复等要求对本项目进行验收，提出意见如下：</w:t>
      </w:r>
    </w:p>
    <w:p>
      <w:pPr>
        <w:numPr>
          <w:ilvl w:val="0"/>
          <w:numId w:val="2"/>
        </w:numPr>
        <w:adjustRightInd w:val="0"/>
        <w:ind w:firstLine="482"/>
        <w:outlineLvl w:val="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工程建设基本情况</w:t>
      </w:r>
    </w:p>
    <w:p>
      <w:pPr>
        <w:numPr>
          <w:ilvl w:val="0"/>
          <w:numId w:val="3"/>
        </w:numPr>
        <w:adjustRightInd w:val="0"/>
        <w:ind w:firstLine="480"/>
        <w:outlineLvl w:val="1"/>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建设地点、规模、主要建设内容</w:t>
      </w:r>
    </w:p>
    <w:p>
      <w:pPr>
        <w:bidi w:val="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山东瑞兴阻燃科技有限公司</w:t>
      </w:r>
      <w:r>
        <w:rPr>
          <w:rFonts w:hint="default" w:ascii="Times New Roman" w:hAnsi="Times New Roman" w:cs="Times New Roman"/>
          <w:color w:val="auto"/>
          <w:sz w:val="24"/>
          <w:highlight w:val="none"/>
          <w:lang w:val="en-US" w:eastAsia="zh-CN"/>
        </w:rPr>
        <w:t>企业地址位于山东省枣庄市峄城峨山镇化工园区。</w:t>
      </w:r>
    </w:p>
    <w:p>
      <w:pPr>
        <w:bidi w:val="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项目为改扩建项目，项目厂区总占地面积26732m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，本项目占地面积7752.6m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本项目年产8000t/a阻燃剂包括磷酸三异丙基苯酯（IPPP）（1000吨/年）、磷酸三苯酯（TPP）（1000吨/年）、磷酸甲苯二苯酯（CDP）（2000吨/年）、双酚A双（二苯基磷酸酯）（BDP）（4000吨/年），副产盐酸8000t/a；同时对现有工程产品磷酸三二甲苯酯（TXP）进行减压脱水，添加抗氧化剂及抗泡剂深加工，调和成抗燃液压油（年产量为2000t/a）。</w:t>
      </w:r>
    </w:p>
    <w:p>
      <w:pPr>
        <w:adjustRightInd w:val="0"/>
        <w:ind w:firstLine="480"/>
        <w:outlineLvl w:val="1"/>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（二）环评审批及建设情况</w:t>
      </w:r>
    </w:p>
    <w:p>
      <w:pPr>
        <w:bidi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2020年08月，山东瑞兴阻燃科技有限公司委托山东益源环保科技有限公司编制完成《山东瑞兴阻燃科技有限公司16000吨（二期工程8000吨/年）高效磷酸酯阻燃剂建设项目环境影响报告书》</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2020年12月28日，枣庄市生态环境局以枣环行审〔2020〕49号予以批复</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本项目于20</w:t>
      </w:r>
      <w:r>
        <w:rPr>
          <w:rFonts w:hint="default"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月开工建设，202</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8月</w:t>
      </w:r>
      <w:r>
        <w:rPr>
          <w:rFonts w:hint="default" w:ascii="Times New Roman" w:hAnsi="Times New Roman" w:cs="Times New Roman"/>
          <w:color w:val="auto"/>
          <w:sz w:val="24"/>
          <w:highlight w:val="none"/>
        </w:rPr>
        <w:t>竣工。</w:t>
      </w:r>
    </w:p>
    <w:p>
      <w:pPr>
        <w:adjustRightInd w:val="0"/>
        <w:ind w:firstLine="480"/>
        <w:outlineLvl w:val="1"/>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（三）投资情况</w:t>
      </w:r>
    </w:p>
    <w:p>
      <w:pPr>
        <w:ind w:firstLine="470" w:firstLineChars="196"/>
        <w:rPr>
          <w:rFonts w:hint="default" w:ascii="Times New Roman" w:hAnsi="Times New Roman" w:cs="Times New Roman"/>
          <w:color w:val="auto"/>
          <w:highlight w:val="none"/>
        </w:rPr>
      </w:pPr>
      <w:r>
        <w:rPr>
          <w:rFonts w:hint="eastAsia"/>
          <w:snapToGrid w:val="0"/>
          <w:color w:val="auto"/>
          <w:kern w:val="0"/>
          <w:sz w:val="24"/>
          <w:highlight w:val="none"/>
          <w:lang w:val="en-US" w:eastAsia="zh-CN"/>
        </w:rPr>
        <w:t>环评预测</w:t>
      </w:r>
      <w:r>
        <w:rPr>
          <w:snapToGrid w:val="0"/>
          <w:color w:val="auto"/>
          <w:kern w:val="0"/>
          <w:sz w:val="24"/>
          <w:highlight w:val="none"/>
        </w:rPr>
        <w:t>项目投资9500万元，环保投资约</w:t>
      </w:r>
      <w:r>
        <w:rPr>
          <w:rFonts w:hint="eastAsia"/>
          <w:snapToGrid w:val="0"/>
          <w:color w:val="auto"/>
          <w:kern w:val="0"/>
          <w:sz w:val="24"/>
          <w:highlight w:val="none"/>
          <w:lang w:val="en-US" w:eastAsia="zh-CN"/>
        </w:rPr>
        <w:t>213</w:t>
      </w:r>
      <w:r>
        <w:rPr>
          <w:snapToGrid w:val="0"/>
          <w:color w:val="auto"/>
          <w:kern w:val="0"/>
          <w:sz w:val="24"/>
          <w:highlight w:val="none"/>
        </w:rPr>
        <w:t>万元，占总投资费用的</w:t>
      </w:r>
      <w:r>
        <w:rPr>
          <w:rFonts w:hint="eastAsia"/>
          <w:snapToGrid w:val="0"/>
          <w:color w:val="auto"/>
          <w:kern w:val="0"/>
          <w:sz w:val="24"/>
          <w:highlight w:val="none"/>
          <w:lang w:val="en-US" w:eastAsia="zh-CN"/>
        </w:rPr>
        <w:t>2.2%，</w:t>
      </w:r>
      <w:r>
        <w:rPr>
          <w:rFonts w:hint="eastAsia" w:cs="Times New Roman"/>
          <w:lang w:val="en-US" w:eastAsia="zh-CN"/>
        </w:rPr>
        <w:t>项目实际投资9500万元，环保投资220万元，占总投资费用的2.3%</w:t>
      </w:r>
      <w:r>
        <w:rPr>
          <w:rFonts w:hint="default" w:ascii="Times New Roman" w:hAnsi="Times New Roman" w:cs="Times New Roman"/>
          <w:color w:val="auto"/>
          <w:highlight w:val="none"/>
          <w:lang w:eastAsia="zh-CN"/>
        </w:rPr>
        <w:t>。</w:t>
      </w:r>
    </w:p>
    <w:p>
      <w:pPr>
        <w:adjustRightInd w:val="0"/>
        <w:ind w:firstLine="480"/>
        <w:outlineLvl w:val="1"/>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（四）验收范围</w:t>
      </w:r>
    </w:p>
    <w:p>
      <w:pPr>
        <w:adjustRightInd w:val="0"/>
        <w:ind w:firstLine="480"/>
        <w:rPr>
          <w:rFonts w:hint="default" w:ascii="Times New Roman" w:hAnsi="Times New Roman" w:cs="Times New Roman"/>
          <w:color w:val="auto"/>
          <w:szCs w:val="24"/>
          <w:highlight w:val="none"/>
        </w:rPr>
      </w:pPr>
      <w:r>
        <w:rPr>
          <w:rFonts w:hint="eastAsia" w:cs="Times New Roman"/>
          <w:sz w:val="24"/>
          <w:szCs w:val="22"/>
          <w:highlight w:val="none"/>
          <w:lang w:val="en-US" w:eastAsia="zh-CN"/>
        </w:rPr>
        <w:t>山东瑞兴阻燃科技有限公司16000吨（二期工程8000吨/年）高效磷酸酯阻燃剂生产装置及相关配套设施、环保工程、公用工程等</w:t>
      </w:r>
      <w:r>
        <w:rPr>
          <w:rFonts w:hint="default" w:ascii="Times New Roman" w:hAnsi="Times New Roman" w:cs="Times New Roman"/>
          <w:color w:val="auto"/>
          <w:highlight w:val="none"/>
        </w:rPr>
        <w:t>。</w:t>
      </w:r>
    </w:p>
    <w:p>
      <w:pPr>
        <w:numPr>
          <w:ilvl w:val="0"/>
          <w:numId w:val="2"/>
        </w:numPr>
        <w:adjustRightInd w:val="0"/>
        <w:ind w:firstLine="482"/>
        <w:outlineLvl w:val="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工程变动情况</w:t>
      </w:r>
    </w:p>
    <w:p>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zh-CN"/>
        </w:rPr>
        <w:t>项目变动一览表见表</w:t>
      </w:r>
      <w:r>
        <w:rPr>
          <w:rFonts w:hint="default" w:ascii="Times New Roman" w:hAnsi="Times New Roman" w:cs="Times New Roman"/>
          <w:color w:val="auto"/>
          <w:highlight w:val="none"/>
        </w:rPr>
        <w:t>2-1</w:t>
      </w:r>
      <w:r>
        <w:rPr>
          <w:rFonts w:hint="default" w:ascii="Times New Roman" w:hAnsi="Times New Roman" w:cs="Times New Roman"/>
          <w:color w:val="auto"/>
          <w:highlight w:val="none"/>
          <w:lang w:eastAsia="zh-CN"/>
        </w:rPr>
        <w:t>。</w:t>
      </w:r>
    </w:p>
    <w:p>
      <w:pPr>
        <w:pStyle w:val="1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表2-1 项目变动一览表</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2278"/>
        <w:gridCol w:w="1864"/>
        <w:gridCol w:w="3013"/>
        <w:gridCol w:w="5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0" w:type="auto"/>
            <w:tcBorders>
              <w:top w:val="single" w:color="auto" w:sz="18" w:space="0"/>
            </w:tcBorders>
            <w:noWrap w:val="0"/>
            <w:vAlign w:val="center"/>
          </w:tcPr>
          <w:p>
            <w:pPr>
              <w:pStyle w:val="16"/>
              <w:bidi w:val="0"/>
              <w:rPr>
                <w:rFonts w:hint="default"/>
              </w:rPr>
            </w:pPr>
            <w:r>
              <w:rPr>
                <w:rFonts w:hint="default"/>
              </w:rPr>
              <w:t>环评</w:t>
            </w:r>
            <w:r>
              <w:rPr>
                <w:rFonts w:hint="default"/>
                <w:lang w:eastAsia="zh-CN"/>
              </w:rPr>
              <w:t>设计</w:t>
            </w:r>
            <w:r>
              <w:rPr>
                <w:rFonts w:hint="default"/>
              </w:rPr>
              <w:t>内容</w:t>
            </w:r>
          </w:p>
        </w:tc>
        <w:tc>
          <w:tcPr>
            <w:tcW w:w="0" w:type="auto"/>
            <w:tcBorders>
              <w:top w:val="single" w:color="auto" w:sz="18" w:space="0"/>
            </w:tcBorders>
            <w:noWrap w:val="0"/>
            <w:vAlign w:val="center"/>
          </w:tcPr>
          <w:p>
            <w:pPr>
              <w:pStyle w:val="16"/>
              <w:bidi w:val="0"/>
              <w:rPr>
                <w:rFonts w:hint="default"/>
              </w:rPr>
            </w:pPr>
            <w:r>
              <w:rPr>
                <w:rFonts w:hint="default"/>
              </w:rPr>
              <w:t>环评批复内容</w:t>
            </w:r>
          </w:p>
        </w:tc>
        <w:tc>
          <w:tcPr>
            <w:tcW w:w="0" w:type="auto"/>
            <w:tcBorders>
              <w:top w:val="single" w:color="auto" w:sz="18" w:space="0"/>
            </w:tcBorders>
            <w:noWrap w:val="0"/>
            <w:vAlign w:val="center"/>
          </w:tcPr>
          <w:p>
            <w:pPr>
              <w:pStyle w:val="16"/>
              <w:bidi w:val="0"/>
              <w:rPr>
                <w:rFonts w:hint="default"/>
              </w:rPr>
            </w:pPr>
            <w:r>
              <w:rPr>
                <w:rFonts w:hint="default"/>
              </w:rPr>
              <w:t>实际内容</w:t>
            </w:r>
          </w:p>
        </w:tc>
        <w:tc>
          <w:tcPr>
            <w:tcW w:w="0" w:type="auto"/>
            <w:tcBorders>
              <w:top w:val="single" w:color="auto" w:sz="18" w:space="0"/>
            </w:tcBorders>
            <w:noWrap w:val="0"/>
            <w:vAlign w:val="center"/>
          </w:tcPr>
          <w:p>
            <w:pPr>
              <w:pStyle w:val="16"/>
              <w:bidi w:val="0"/>
              <w:rPr>
                <w:rFonts w:hint="default"/>
                <w:lang w:val="en-US" w:eastAsia="zh-CN"/>
              </w:rPr>
            </w:pPr>
            <w:r>
              <w:rPr>
                <w:rFonts w:hint="eastAsia"/>
                <w:lang w:val="en-US" w:eastAsia="zh-CN"/>
              </w:rPr>
              <w:t>项目变动原因</w:t>
            </w:r>
          </w:p>
        </w:tc>
        <w:tc>
          <w:tcPr>
            <w:tcW w:w="0" w:type="auto"/>
            <w:tcBorders>
              <w:top w:val="single" w:color="auto" w:sz="18" w:space="0"/>
            </w:tcBorders>
            <w:noWrap w:val="0"/>
            <w:vAlign w:val="center"/>
          </w:tcPr>
          <w:p>
            <w:pPr>
              <w:pStyle w:val="16"/>
              <w:bidi w:val="0"/>
              <w:rPr>
                <w:rFonts w:hint="default"/>
                <w:lang w:val="en-US"/>
              </w:rPr>
            </w:pPr>
            <w:r>
              <w:rPr>
                <w:rFonts w:hint="default"/>
                <w:lang w:val="en-US" w:eastAsia="zh-CN"/>
              </w:rPr>
              <w:t>是否属于重大变</w:t>
            </w:r>
            <w:r>
              <w:rPr>
                <w:rFonts w:hint="eastAsia"/>
                <w:lang w:val="en-US" w:eastAsia="zh-CN"/>
              </w:rPr>
              <w:t>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l2br w:val="nil"/>
              <w:tr2bl w:val="nil"/>
            </w:tcBorders>
            <w:noWrap w:val="0"/>
            <w:vAlign w:val="center"/>
          </w:tcPr>
          <w:p>
            <w:pPr>
              <w:pStyle w:val="16"/>
              <w:bidi w:val="0"/>
              <w:rPr>
                <w:lang w:val="en-US" w:eastAsia="zh-CN"/>
              </w:rPr>
            </w:pPr>
            <w:r>
              <w:rPr>
                <w:rFonts w:hint="eastAsia"/>
              </w:rPr>
              <w:t>反应尾气</w:t>
            </w:r>
            <w:r>
              <w:t>以及蒸馏抽真空废气经冷凝处理后，再经“</w:t>
            </w:r>
            <w:r>
              <w:rPr>
                <w:rFonts w:hint="eastAsia"/>
                <w:lang w:eastAsia="zh-CN"/>
              </w:rPr>
              <w:t>二级水吸收+一级碱吸收+阻水器+活性炭吸附+脱附催化燃烧</w:t>
            </w:r>
            <w:r>
              <w:t>”后20m高排气筒P2排放。</w:t>
            </w:r>
          </w:p>
        </w:tc>
        <w:tc>
          <w:tcPr>
            <w:tcW w:w="0" w:type="auto"/>
            <w:tcBorders>
              <w:tl2br w:val="nil"/>
              <w:tr2bl w:val="nil"/>
            </w:tcBorders>
            <w:noWrap w:val="0"/>
            <w:vAlign w:val="center"/>
          </w:tcPr>
          <w:p>
            <w:pPr>
              <w:pStyle w:val="16"/>
              <w:bidi w:val="0"/>
              <w:rPr>
                <w:rFonts w:hint="eastAsia"/>
                <w:lang w:val="en-US" w:eastAsia="zh-CN"/>
              </w:rPr>
            </w:pPr>
            <w:r>
              <w:rPr>
                <w:rFonts w:hint="eastAsia"/>
                <w:lang w:val="en-US" w:eastAsia="zh-CN"/>
              </w:rPr>
              <w:t>严格落实废气污染防治措施，合理优化废气收集，处理方案。酯化反应尾气及蒸馏抽真空废气，采取“二级水冷+二级水吸收+一级碱吸收+阻水器+活性炭吸附+脱附催化燃烧”后由高20m排气筒P2排放</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lang w:val="en-US" w:eastAsia="zh-CN"/>
              </w:rPr>
            </w:pPr>
            <w:r>
              <w:rPr>
                <w:rFonts w:hint="eastAsia"/>
                <w:color w:val="auto"/>
                <w:kern w:val="0"/>
                <w:sz w:val="21"/>
                <w:szCs w:val="21"/>
                <w:highlight w:val="none"/>
                <w:lang w:val="en-US" w:eastAsia="zh-CN"/>
              </w:rPr>
              <w:t>酯化反应尾气及储罐区大小呼吸废气经“2级水吸收”预处理，蒸馏废气经“水冷+2级碱吸收”预处理，后经过</w:t>
            </w:r>
            <w:r>
              <w:rPr>
                <w:rStyle w:val="15"/>
                <w:rFonts w:hint="eastAsia" w:ascii="宋体" w:hAnsi="宋体" w:eastAsia="宋体" w:cs="Times New Roman"/>
                <w:color w:val="auto"/>
                <w:kern w:val="2"/>
                <w:sz w:val="21"/>
                <w:highlight w:val="none"/>
                <w:lang w:val="en-US" w:eastAsia="zh-CN" w:bidi="ar-SA"/>
              </w:rPr>
              <w:t>1级碱吸收+2级水吸收+阻水+活性炭吸附+催化燃烧</w:t>
            </w:r>
            <w:r>
              <w:rPr>
                <w:rFonts w:hint="eastAsia"/>
                <w:color w:val="auto"/>
                <w:kern w:val="0"/>
                <w:sz w:val="21"/>
                <w:szCs w:val="21"/>
                <w:highlight w:val="none"/>
                <w:lang w:val="en-US" w:eastAsia="zh-CN"/>
              </w:rPr>
              <w:t>”后通过</w:t>
            </w:r>
            <w:r>
              <w:rPr>
                <w:color w:val="auto"/>
                <w:kern w:val="0"/>
                <w:sz w:val="21"/>
                <w:szCs w:val="21"/>
                <w:highlight w:val="none"/>
              </w:rPr>
              <w:t>20m高排气筒</w:t>
            </w:r>
            <w:r>
              <w:rPr>
                <w:rFonts w:hint="eastAsia"/>
                <w:color w:val="auto"/>
                <w:kern w:val="0"/>
                <w:sz w:val="21"/>
                <w:szCs w:val="21"/>
                <w:highlight w:val="none"/>
                <w:lang w:val="en-US" w:eastAsia="zh-CN"/>
              </w:rPr>
              <w:t>DA002</w:t>
            </w:r>
            <w:r>
              <w:rPr>
                <w:color w:val="auto"/>
                <w:kern w:val="0"/>
                <w:sz w:val="21"/>
                <w:szCs w:val="21"/>
                <w:highlight w:val="none"/>
              </w:rPr>
              <w:t>排放</w:t>
            </w:r>
            <w:r>
              <w:rPr>
                <w:rFonts w:hint="eastAsia"/>
                <w:color w:val="auto"/>
                <w:kern w:val="0"/>
                <w:sz w:val="21"/>
                <w:szCs w:val="21"/>
                <w:highlight w:val="none"/>
                <w:lang w:eastAsia="zh-CN"/>
              </w:rPr>
              <w:t>。</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反应尾气增加2级水吸收，蒸馏废气增加2级碱吸收，优化处理工艺，减少废气排放。</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桶装三氯氧磷</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建设3个三氯氧磷储罐，废气有组织排放，废气经2级水吸收+1级碱吸收+2级水吸收+阻水+活性炭吸附+催化燃烧处置后通过DA002排放</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由桶装改为储罐，减少无组织。</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l2br w:val="nil"/>
              <w:tr2bl w:val="nil"/>
            </w:tcBorders>
            <w:noWrap w:val="0"/>
            <w:vAlign w:val="center"/>
          </w:tcPr>
          <w:p>
            <w:pPr>
              <w:pStyle w:val="16"/>
              <w:bidi w:val="0"/>
              <w:rPr>
                <w:rFonts w:hint="eastAsia"/>
                <w:lang w:val="en-US" w:eastAsia="zh-CN"/>
              </w:rPr>
            </w:pPr>
            <w:r>
              <w:rPr>
                <w:rFonts w:hint="eastAsia"/>
                <w:lang w:val="en-US" w:eastAsia="zh-CN"/>
              </w:rPr>
              <w:t>无组织废气：主要包括催化剂及碳酸钠投料粉尘，生产装置区设备跑冒滴漏废气以及储罐区大小呼吸无组织废气，采取自然沉降、车间密闭、厂区绿化等措施。</w:t>
            </w:r>
          </w:p>
        </w:tc>
        <w:tc>
          <w:tcPr>
            <w:tcW w:w="0" w:type="auto"/>
            <w:tcBorders>
              <w:tl2br w:val="nil"/>
              <w:tr2bl w:val="nil"/>
            </w:tcBorders>
            <w:noWrap w:val="0"/>
            <w:vAlign w:val="center"/>
          </w:tcPr>
          <w:p>
            <w:pPr>
              <w:pStyle w:val="16"/>
              <w:bidi w:val="0"/>
              <w:rPr>
                <w:rFonts w:hint="eastAsia"/>
                <w:lang w:val="en-US" w:eastAsia="zh-CN"/>
              </w:rPr>
            </w:pPr>
            <w:r>
              <w:rPr>
                <w:rFonts w:hint="eastAsia"/>
                <w:lang w:val="en-US" w:eastAsia="zh-CN"/>
              </w:rPr>
              <w:t>严格按照环评要求落实无组织废气的收集与处理措施。采取车间密闭措施，酚类储罐呼吸废气经集气收集后引至尾气处理装置处理；盐酸储罐呼吸废气经集气收集后引至三级降膜吸收装置处理。</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无组织排放改为有组织排放。</w:t>
            </w:r>
          </w:p>
          <w:p>
            <w:pPr>
              <w:pStyle w:val="16"/>
              <w:bidi w:val="0"/>
            </w:pPr>
            <w:r>
              <w:t>盐酸储罐：</w:t>
            </w:r>
            <w:r>
              <w:rPr>
                <w:rFonts w:hint="eastAsia"/>
                <w:lang w:val="en-US" w:eastAsia="zh-CN"/>
              </w:rPr>
              <w:t>呼</w:t>
            </w:r>
            <w:r>
              <w:rPr>
                <w:rFonts w:hint="eastAsia"/>
              </w:rPr>
              <w:t>吸废气经引风收集引致</w:t>
            </w:r>
            <w:r>
              <w:rPr>
                <w:rFonts w:hint="eastAsia"/>
                <w:lang w:val="en-US" w:eastAsia="zh-CN"/>
              </w:rPr>
              <w:t>三级降膜吸收冷凝，后经</w:t>
            </w:r>
            <w:r>
              <w:rPr>
                <w:rFonts w:hint="eastAsia"/>
              </w:rPr>
              <w:t>尾气处理装置“</w:t>
            </w:r>
            <w:r>
              <w:rPr>
                <w:rFonts w:hint="eastAsia"/>
                <w:lang w:eastAsia="zh-CN"/>
              </w:rPr>
              <w:t>二级水吸收+一级碱液吸收</w:t>
            </w:r>
            <w:r>
              <w:rPr>
                <w:rFonts w:hint="eastAsia"/>
                <w:lang w:val="en-US" w:eastAsia="zh-CN"/>
              </w:rPr>
              <w:t>+二级水吸收</w:t>
            </w:r>
            <w:r>
              <w:rPr>
                <w:rFonts w:hint="eastAsia"/>
                <w:lang w:eastAsia="zh-CN"/>
              </w:rPr>
              <w:t>+阻水器+活性炭吸附+脱附催化燃烧</w:t>
            </w:r>
            <w:r>
              <w:rPr>
                <w:rFonts w:hint="eastAsia"/>
              </w:rPr>
              <w:t>”处理。</w:t>
            </w:r>
          </w:p>
          <w:p>
            <w:pPr>
              <w:pStyle w:val="16"/>
              <w:bidi w:val="0"/>
              <w:rPr>
                <w:rFonts w:hint="eastAsia"/>
                <w:lang w:val="en-US" w:eastAsia="zh-CN"/>
              </w:rPr>
            </w:pPr>
            <w:r>
              <w:t>酚类储罐：</w:t>
            </w:r>
            <w:r>
              <w:rPr>
                <w:rFonts w:hint="eastAsia"/>
              </w:rPr>
              <w:t>呼吸废气经引风收集引致尾气处理装置“</w:t>
            </w:r>
            <w:r>
              <w:rPr>
                <w:rFonts w:hint="eastAsia"/>
                <w:lang w:eastAsia="zh-CN"/>
              </w:rPr>
              <w:t>二级水吸收+一级碱液吸收</w:t>
            </w:r>
            <w:r>
              <w:rPr>
                <w:rFonts w:hint="eastAsia"/>
                <w:lang w:val="en-US" w:eastAsia="zh-CN"/>
              </w:rPr>
              <w:t>+二级水吸收</w:t>
            </w:r>
            <w:r>
              <w:rPr>
                <w:rFonts w:hint="eastAsia"/>
                <w:lang w:eastAsia="zh-CN"/>
              </w:rPr>
              <w:t>+阻水器+活性炭吸附+脱附催化燃烧</w:t>
            </w:r>
            <w:r>
              <w:rPr>
                <w:rFonts w:hint="eastAsia"/>
              </w:rPr>
              <w:t>”处理。</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无组织排放改为有组织排放</w:t>
            </w:r>
          </w:p>
        </w:tc>
        <w:tc>
          <w:tcPr>
            <w:tcW w:w="0" w:type="auto"/>
            <w:tcBorders>
              <w:tl2br w:val="nil"/>
              <w:tr2bl w:val="nil"/>
            </w:tcBorders>
            <w:noWrap w:val="0"/>
            <w:vAlign w:val="center"/>
          </w:tcPr>
          <w:p>
            <w:pPr>
              <w:pStyle w:val="16"/>
              <w:bidi w:val="0"/>
              <w:rPr>
                <w:rFonts w:hint="default"/>
                <w:lang w:val="en-US" w:eastAsia="zh-CN"/>
              </w:rPr>
            </w:pPr>
            <w:r>
              <w:rPr>
                <w:rFonts w:hint="eastAsia"/>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bottom w:val="single" w:color="auto" w:sz="18" w:space="0"/>
            </w:tcBorders>
            <w:noWrap w:val="0"/>
            <w:vAlign w:val="center"/>
          </w:tcPr>
          <w:p>
            <w:pPr>
              <w:pStyle w:val="16"/>
              <w:bidi w:val="0"/>
              <w:rPr>
                <w:rFonts w:hint="default"/>
                <w:lang w:val="en-US" w:eastAsia="zh-CN"/>
              </w:rPr>
            </w:pPr>
            <w:r>
              <w:rPr>
                <w:rFonts w:hint="eastAsia"/>
                <w:lang w:val="en-US" w:eastAsia="zh-CN"/>
              </w:rPr>
              <w:t>/</w:t>
            </w:r>
          </w:p>
        </w:tc>
        <w:tc>
          <w:tcPr>
            <w:tcW w:w="0" w:type="auto"/>
            <w:tcBorders>
              <w:bottom w:val="single" w:color="auto" w:sz="18" w:space="0"/>
            </w:tcBorders>
            <w:noWrap w:val="0"/>
            <w:vAlign w:val="center"/>
          </w:tcPr>
          <w:p>
            <w:pPr>
              <w:pStyle w:val="16"/>
              <w:bidi w:val="0"/>
              <w:rPr>
                <w:rFonts w:hint="eastAsia"/>
                <w:lang w:val="en-US" w:eastAsia="zh-CN"/>
              </w:rPr>
            </w:pPr>
            <w:r>
              <w:rPr>
                <w:rFonts w:hint="eastAsia"/>
                <w:lang w:val="en-US" w:eastAsia="zh-CN"/>
              </w:rPr>
              <w:t>建立健全环境管理制度。按照相关要求在规定位置设置规范的污染物排放口、监测口和废物贮存场，并设立标志牌。严格根据相关规定强化落实环境管理及监测计划，在废气排气简安装常规污染物（含VOCs）等自动监控设备，并按要求与生态环境部门联网。</w:t>
            </w:r>
          </w:p>
        </w:tc>
        <w:tc>
          <w:tcPr>
            <w:tcW w:w="0" w:type="auto"/>
            <w:tcBorders>
              <w:bottom w:val="single" w:color="auto" w:sz="18" w:space="0"/>
            </w:tcBorders>
            <w:noWrap w:val="0"/>
            <w:vAlign w:val="center"/>
          </w:tcPr>
          <w:p>
            <w:pPr>
              <w:pStyle w:val="16"/>
              <w:bidi w:val="0"/>
              <w:rPr>
                <w:rFonts w:hint="default"/>
                <w:lang w:val="en-US" w:eastAsia="zh-CN"/>
              </w:rPr>
            </w:pPr>
            <w:r>
              <w:rPr>
                <w:rFonts w:hint="eastAsia"/>
                <w:lang w:val="en-US" w:eastAsia="zh-CN"/>
              </w:rPr>
              <w:t>企业未安装在线监测设备</w:t>
            </w:r>
          </w:p>
        </w:tc>
        <w:tc>
          <w:tcPr>
            <w:tcW w:w="0" w:type="auto"/>
            <w:tcBorders>
              <w:bottom w:val="single" w:color="auto" w:sz="18" w:space="0"/>
            </w:tcBorders>
            <w:noWrap w:val="0"/>
            <w:vAlign w:val="center"/>
          </w:tcPr>
          <w:p>
            <w:pPr>
              <w:pStyle w:val="16"/>
              <w:bidi w:val="0"/>
              <w:rPr>
                <w:rFonts w:hint="eastAsia"/>
                <w:lang w:val="en-US" w:eastAsia="zh-CN"/>
              </w:rPr>
            </w:pPr>
            <w:r>
              <w:rPr>
                <w:rFonts w:hint="eastAsia"/>
                <w:lang w:val="en-US" w:eastAsia="zh-CN"/>
              </w:rPr>
              <w:t>根据《</w:t>
            </w:r>
            <w:r>
              <w:rPr>
                <w:rFonts w:hint="default"/>
                <w:lang w:val="en-US" w:eastAsia="zh-CN"/>
              </w:rPr>
              <w:t>山东省生态环境厅关于印发山东省重点排污单位名录制定和污染源自动监测安装联网管理规定的通知</w:t>
            </w:r>
            <w:r>
              <w:rPr>
                <w:rFonts w:hint="eastAsia"/>
                <w:lang w:val="en-US" w:eastAsia="zh-CN"/>
              </w:rPr>
              <w:t>》鲁环发〔2019〕134号文第三条（六）企业排气筒DA002高度为20米，不足45米，内径为0.4m不足1m；第三条（九）企业风机风量小于10000m³/h，VOCs排放速率小于0.5kg/h，不满足安装条件，故未安装。</w:t>
            </w:r>
          </w:p>
        </w:tc>
        <w:tc>
          <w:tcPr>
            <w:tcW w:w="0" w:type="auto"/>
            <w:tcBorders>
              <w:bottom w:val="single" w:color="auto" w:sz="18" w:space="0"/>
            </w:tcBorders>
            <w:noWrap w:val="0"/>
            <w:vAlign w:val="center"/>
          </w:tcPr>
          <w:p>
            <w:pPr>
              <w:pStyle w:val="16"/>
              <w:bidi w:val="0"/>
              <w:rPr>
                <w:rFonts w:hint="default"/>
                <w:lang w:val="en-US" w:eastAsia="zh-CN"/>
              </w:rPr>
            </w:pPr>
            <w:r>
              <w:rPr>
                <w:rFonts w:hint="eastAsia"/>
                <w:lang w:val="en-US" w:eastAsia="zh-CN"/>
              </w:rPr>
              <w:t>否</w:t>
            </w:r>
          </w:p>
        </w:tc>
      </w:tr>
    </w:tbl>
    <w:p>
      <w:pPr>
        <w:adjustRightInd w:val="0"/>
        <w:ind w:firstLine="48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经对照，环办[2015]52号、环办环评[2018]6号</w:t>
      </w:r>
      <w:r>
        <w:rPr>
          <w:rFonts w:hint="default" w:ascii="Times New Roman" w:hAnsi="Times New Roman" w:cs="Times New Roman"/>
          <w:color w:val="auto"/>
          <w:szCs w:val="22"/>
          <w:highlight w:val="none"/>
          <w:lang w:val="en-US" w:eastAsia="zh-CN"/>
        </w:rPr>
        <w:t>、环办环评函〔2020〕688号文</w:t>
      </w:r>
      <w:r>
        <w:rPr>
          <w:rFonts w:hint="default" w:ascii="Times New Roman" w:hAnsi="Times New Roman" w:cs="Times New Roman"/>
          <w:color w:val="auto"/>
          <w:szCs w:val="22"/>
          <w:highlight w:val="none"/>
        </w:rPr>
        <w:t>，上述变动均未对设计规模、工艺、建设地点等造成重大影响，因此以上变动情况不构成重大变动。</w:t>
      </w:r>
    </w:p>
    <w:p>
      <w:pPr>
        <w:adjustRightInd w:val="0"/>
        <w:ind w:firstLine="482"/>
        <w:outlineLvl w:val="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三、环境保护设施建设情况</w:t>
      </w:r>
    </w:p>
    <w:p>
      <w:pPr>
        <w:adjustRightInd w:val="0"/>
        <w:ind w:firstLine="480"/>
        <w:outlineLvl w:val="1"/>
        <w:rPr>
          <w:rFonts w:hint="default" w:ascii="Times New Roman" w:hAnsi="Times New Roman" w:cs="Times New Roman"/>
          <w:b w:val="0"/>
          <w:bCs w:val="0"/>
          <w:color w:val="auto"/>
          <w:szCs w:val="24"/>
          <w:highlight w:val="none"/>
        </w:rPr>
      </w:pPr>
      <w:r>
        <w:rPr>
          <w:rFonts w:hint="default" w:ascii="Times New Roman" w:hAnsi="Times New Roman" w:cs="Times New Roman"/>
          <w:b w:val="0"/>
          <w:bCs w:val="0"/>
          <w:color w:val="auto"/>
          <w:szCs w:val="24"/>
          <w:highlight w:val="none"/>
        </w:rPr>
        <w:t>（一）废水</w:t>
      </w:r>
    </w:p>
    <w:p>
      <w:pPr>
        <w:bidi w:val="0"/>
        <w:rPr>
          <w:rFonts w:hint="default" w:ascii="Times New Roman" w:hAnsi="Times New Roman" w:eastAsia="宋体" w:cs="Times New Roman"/>
          <w:b w:val="0"/>
          <w:bCs w:val="0"/>
          <w:sz w:val="24"/>
          <w:szCs w:val="22"/>
          <w:highlight w:val="none"/>
          <w:lang w:val="en-US" w:eastAsia="zh-CN"/>
        </w:rPr>
      </w:pPr>
      <w:r>
        <w:rPr>
          <w:rFonts w:hint="eastAsia" w:ascii="Times New Roman" w:hAnsi="Times New Roman" w:eastAsia="宋体" w:cs="Times New Roman"/>
          <w:b w:val="0"/>
          <w:bCs w:val="0"/>
          <w:sz w:val="24"/>
          <w:szCs w:val="22"/>
          <w:highlight w:val="none"/>
          <w:lang w:val="en-US" w:eastAsia="zh-CN"/>
        </w:rPr>
        <w:t>项目</w:t>
      </w:r>
      <w:r>
        <w:rPr>
          <w:rFonts w:hint="default" w:ascii="Times New Roman" w:hAnsi="Times New Roman" w:eastAsia="宋体" w:cs="Times New Roman"/>
          <w:b w:val="0"/>
          <w:bCs w:val="0"/>
          <w:sz w:val="24"/>
          <w:szCs w:val="22"/>
          <w:highlight w:val="none"/>
          <w:lang w:val="en-US" w:eastAsia="zh-CN"/>
        </w:rPr>
        <w:t>废水主要为</w:t>
      </w:r>
      <w:r>
        <w:rPr>
          <w:rFonts w:hint="eastAsia" w:ascii="Times New Roman" w:hAnsi="Times New Roman" w:eastAsia="宋体" w:cs="Times New Roman"/>
          <w:b w:val="0"/>
          <w:bCs w:val="0"/>
          <w:sz w:val="24"/>
          <w:szCs w:val="22"/>
          <w:highlight w:val="none"/>
          <w:lang w:val="en-US" w:eastAsia="zh-CN"/>
        </w:rPr>
        <w:t>工艺废水</w:t>
      </w:r>
      <w:r>
        <w:rPr>
          <w:rFonts w:hint="default" w:ascii="Times New Roman" w:hAnsi="Times New Roman" w:eastAsia="宋体" w:cs="Times New Roman"/>
          <w:b w:val="0"/>
          <w:bCs w:val="0"/>
          <w:sz w:val="24"/>
          <w:szCs w:val="22"/>
          <w:highlight w:val="none"/>
          <w:lang w:val="en-US" w:eastAsia="zh-CN"/>
        </w:rPr>
        <w:t>、职工生活污水、循环冷却排污水以及初期雨水，</w:t>
      </w:r>
      <w:r>
        <w:rPr>
          <w:rFonts w:hint="eastAsia" w:ascii="Times New Roman" w:hAnsi="Times New Roman" w:eastAsia="宋体" w:cs="Times New Roman"/>
          <w:b w:val="0"/>
          <w:bCs w:val="0"/>
          <w:sz w:val="24"/>
          <w:szCs w:val="22"/>
          <w:highlight w:val="none"/>
          <w:lang w:val="en-US" w:eastAsia="zh-CN"/>
        </w:rPr>
        <w:t>工艺废水</w:t>
      </w:r>
      <w:r>
        <w:rPr>
          <w:rFonts w:hint="default" w:ascii="Times New Roman" w:hAnsi="Times New Roman" w:eastAsia="宋体" w:cs="Times New Roman"/>
          <w:b w:val="0"/>
          <w:bCs w:val="0"/>
          <w:sz w:val="24"/>
          <w:szCs w:val="22"/>
          <w:highlight w:val="none"/>
          <w:lang w:val="en-US" w:eastAsia="zh-CN"/>
        </w:rPr>
        <w:t>经调减均质，排入</w:t>
      </w:r>
      <w:r>
        <w:rPr>
          <w:rFonts w:hint="eastAsia" w:ascii="Times New Roman" w:hAnsi="Times New Roman" w:eastAsia="宋体" w:cs="Times New Roman"/>
          <w:b w:val="0"/>
          <w:bCs w:val="0"/>
          <w:sz w:val="24"/>
          <w:szCs w:val="22"/>
          <w:highlight w:val="none"/>
          <w:lang w:val="en-US" w:eastAsia="zh-CN"/>
        </w:rPr>
        <w:t>厂区污水处理一体化设备</w:t>
      </w:r>
      <w:r>
        <w:rPr>
          <w:rFonts w:hint="default" w:ascii="Times New Roman" w:hAnsi="Times New Roman" w:eastAsia="宋体" w:cs="Times New Roman"/>
          <w:b w:val="0"/>
          <w:bCs w:val="0"/>
          <w:sz w:val="24"/>
          <w:szCs w:val="22"/>
          <w:highlight w:val="none"/>
          <w:lang w:val="en-US" w:eastAsia="zh-CN"/>
        </w:rPr>
        <w:t>处理，设计处理能力为</w:t>
      </w:r>
      <w:r>
        <w:rPr>
          <w:rFonts w:hint="eastAsia" w:ascii="Times New Roman" w:hAnsi="Times New Roman" w:eastAsia="宋体" w:cs="Times New Roman"/>
          <w:b w:val="0"/>
          <w:bCs w:val="0"/>
          <w:sz w:val="24"/>
          <w:szCs w:val="22"/>
          <w:highlight w:val="none"/>
          <w:lang w:val="en-US" w:eastAsia="zh-CN"/>
        </w:rPr>
        <w:t>30</w:t>
      </w:r>
      <w:r>
        <w:rPr>
          <w:rFonts w:hint="default" w:ascii="Times New Roman" w:hAnsi="Times New Roman" w:eastAsia="宋体" w:cs="Times New Roman"/>
          <w:b w:val="0"/>
          <w:bCs w:val="0"/>
          <w:sz w:val="24"/>
          <w:szCs w:val="22"/>
          <w:highlight w:val="none"/>
          <w:lang w:val="en-US" w:eastAsia="zh-CN"/>
        </w:rPr>
        <w:t>m3/d</w:t>
      </w:r>
      <w:r>
        <w:rPr>
          <w:rFonts w:hint="eastAsia" w:ascii="Times New Roman" w:hAnsi="Times New Roman" w:eastAsia="宋体" w:cs="Times New Roman"/>
          <w:b w:val="0"/>
          <w:bCs w:val="0"/>
          <w:sz w:val="24"/>
          <w:szCs w:val="22"/>
          <w:highlight w:val="none"/>
          <w:lang w:val="en-US" w:eastAsia="zh-CN"/>
        </w:rPr>
        <w:t>，处理后回用不外排</w:t>
      </w:r>
      <w:r>
        <w:rPr>
          <w:rFonts w:hint="default" w:ascii="Times New Roman" w:hAnsi="Times New Roman" w:eastAsia="宋体" w:cs="Times New Roman"/>
          <w:b w:val="0"/>
          <w:bCs w:val="0"/>
          <w:sz w:val="24"/>
          <w:szCs w:val="22"/>
          <w:highlight w:val="none"/>
          <w:lang w:val="en-US" w:eastAsia="zh-CN"/>
        </w:rPr>
        <w:t>。生活污水、循环冷却排污水以及初期雨水</w:t>
      </w:r>
      <w:r>
        <w:rPr>
          <w:rFonts w:hint="eastAsia" w:ascii="Times New Roman" w:hAnsi="Times New Roman" w:eastAsia="宋体" w:cs="Times New Roman"/>
          <w:b w:val="0"/>
          <w:bCs w:val="0"/>
          <w:sz w:val="24"/>
          <w:szCs w:val="22"/>
          <w:highlight w:val="none"/>
          <w:lang w:val="en-US" w:eastAsia="zh-CN"/>
        </w:rPr>
        <w:t>经一企一管排入园区污水处理厂。污水处理站采用“均质均量调节+絮凝沉淀+AOMBR+浓缩减量+蒸发除盐+消毒+活性炭过滤器”的主体工艺</w:t>
      </w:r>
      <w:r>
        <w:rPr>
          <w:rFonts w:hint="eastAsia" w:ascii="Times New Roman" w:hAnsi="Times New Roman" w:cs="Times New Roman"/>
          <w:b w:val="0"/>
          <w:bCs w:val="0"/>
          <w:sz w:val="24"/>
          <w:szCs w:val="22"/>
          <w:highlight w:val="none"/>
          <w:lang w:val="en-US" w:eastAsia="zh-CN"/>
        </w:rPr>
        <w:t>。</w:t>
      </w:r>
    </w:p>
    <w:p>
      <w:pPr>
        <w:adjustRightInd w:val="0"/>
        <w:ind w:firstLine="480"/>
        <w:outlineLvl w:val="1"/>
        <w:rPr>
          <w:rFonts w:hint="default" w:ascii="Times New Roman" w:hAnsi="Times New Roman" w:cs="Times New Roman"/>
          <w:b w:val="0"/>
          <w:bCs w:val="0"/>
          <w:color w:val="auto"/>
          <w:szCs w:val="24"/>
          <w:highlight w:val="none"/>
        </w:rPr>
      </w:pPr>
      <w:r>
        <w:rPr>
          <w:rFonts w:hint="default" w:ascii="Times New Roman" w:hAnsi="Times New Roman" w:cs="Times New Roman"/>
          <w:b w:val="0"/>
          <w:bCs w:val="0"/>
          <w:color w:val="auto"/>
          <w:szCs w:val="24"/>
          <w:highlight w:val="none"/>
        </w:rPr>
        <w:t>（二）废气</w:t>
      </w:r>
    </w:p>
    <w:p>
      <w:pPr>
        <w:bidi w:val="0"/>
        <w:rPr>
          <w:rFonts w:hint="default" w:ascii="Times New Roman" w:hAnsi="Times New Roman" w:cs="Times New Roman"/>
          <w:b w:val="0"/>
          <w:bCs w:val="0"/>
          <w:color w:val="auto"/>
          <w:highlight w:val="none"/>
        </w:rPr>
      </w:pPr>
      <w:r>
        <w:rPr>
          <w:rFonts w:hint="eastAsia" w:ascii="Times New Roman" w:hAnsi="Times New Roman" w:cs="Times New Roman"/>
          <w:sz w:val="24"/>
          <w:lang w:val="en-US" w:eastAsia="zh-CN"/>
        </w:rPr>
        <w:t>废气主要为催化剂投料粉尘、碳酸钠投料粉尘、反应尾气、抽真空废气、苯酚储罐大小呼吸产生的苯酚、异丙基苯酚储罐大小呼吸产生的异丙基苯酚、间对甲酚储罐大小呼吸产生的间对甲酚、生产装置区设备跑冒滴漏废气、盐酸储罐大小呼吸产生的氯化氢</w:t>
      </w:r>
      <w:r>
        <w:rPr>
          <w:rFonts w:hint="default" w:ascii="Times New Roman" w:hAnsi="Times New Roman" w:cs="Times New Roman"/>
          <w:color w:val="auto"/>
          <w:highlight w:val="none"/>
          <w:lang w:eastAsia="zh-CN"/>
        </w:rPr>
        <w:t>。</w:t>
      </w:r>
      <w:r>
        <w:rPr>
          <w:rFonts w:hint="default" w:ascii="Times New Roman" w:hAnsi="Times New Roman" w:cs="Times New Roman"/>
          <w:b w:val="0"/>
          <w:bCs w:val="0"/>
          <w:color w:val="auto"/>
          <w:highlight w:val="none"/>
        </w:rPr>
        <w:t>有组织废气产生、收集、处理措施及排放情况见表</w:t>
      </w:r>
      <w:r>
        <w:rPr>
          <w:rFonts w:hint="default" w:ascii="Times New Roman" w:hAnsi="Times New Roman" w:cs="Times New Roman"/>
          <w:b w:val="0"/>
          <w:bCs w:val="0"/>
          <w:color w:val="auto"/>
          <w:highlight w:val="none"/>
          <w:lang w:val="en-US" w:eastAsia="zh-CN"/>
        </w:rPr>
        <w:t>2</w:t>
      </w:r>
      <w:r>
        <w:rPr>
          <w:rFonts w:hint="default" w:ascii="Times New Roman" w:hAnsi="Times New Roman" w:cs="Times New Roman"/>
          <w:b w:val="0"/>
          <w:bCs w:val="0"/>
          <w:color w:val="auto"/>
          <w:highlight w:val="none"/>
        </w:rPr>
        <w:t>-1。</w:t>
      </w:r>
    </w:p>
    <w:p>
      <w:pPr>
        <w:pStyle w:val="18"/>
        <w:bidi w:val="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表</w:t>
      </w:r>
      <w:r>
        <w:rPr>
          <w:rFonts w:hint="default" w:ascii="Times New Roman" w:hAnsi="Times New Roman" w:cs="Times New Roman"/>
          <w:b w:val="0"/>
          <w:bCs w:val="0"/>
          <w:color w:val="auto"/>
          <w:highlight w:val="none"/>
          <w:lang w:val="en-US" w:eastAsia="zh-CN"/>
        </w:rPr>
        <w:t>2</w:t>
      </w:r>
      <w:r>
        <w:rPr>
          <w:rFonts w:hint="default" w:ascii="Times New Roman" w:hAnsi="Times New Roman" w:cs="Times New Roman"/>
          <w:b w:val="0"/>
          <w:bCs w:val="0"/>
          <w:color w:val="auto"/>
          <w:highlight w:val="none"/>
        </w:rPr>
        <w:t>-1 有组织废气产生、收集、处理措施及排放情况一览表</w:t>
      </w:r>
    </w:p>
    <w:tbl>
      <w:tblPr>
        <w:tblStyle w:val="13"/>
        <w:tblW w:w="494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108"/>
        <w:gridCol w:w="1975"/>
        <w:gridCol w:w="456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tcBorders>
              <w:tl2br w:val="nil"/>
              <w:tr2bl w:val="nil"/>
            </w:tcBorders>
            <w:noWrap/>
            <w:vAlign w:val="center"/>
          </w:tcPr>
          <w:p>
            <w:pPr>
              <w:pStyle w:val="16"/>
              <w:bidi w:val="0"/>
              <w:rPr>
                <w:rFonts w:hint="eastAsia"/>
                <w:lang w:val="en-US" w:eastAsia="zh-CN"/>
              </w:rPr>
            </w:pPr>
            <w:r>
              <w:rPr>
                <w:rFonts w:hint="eastAsia"/>
                <w:lang w:val="en-US" w:eastAsia="zh-CN"/>
              </w:rPr>
              <w:t>编号</w:t>
            </w:r>
          </w:p>
        </w:tc>
        <w:tc>
          <w:tcPr>
            <w:tcW w:w="615" w:type="pct"/>
            <w:tcBorders>
              <w:tl2br w:val="nil"/>
              <w:tr2bl w:val="nil"/>
            </w:tcBorders>
            <w:noWrap/>
            <w:vAlign w:val="center"/>
          </w:tcPr>
          <w:p>
            <w:pPr>
              <w:pStyle w:val="16"/>
              <w:bidi w:val="0"/>
              <w:rPr>
                <w:rFonts w:hint="eastAsia"/>
                <w:lang w:val="en-US" w:eastAsia="zh-CN"/>
              </w:rPr>
            </w:pPr>
            <w:r>
              <w:rPr>
                <w:rFonts w:hint="eastAsia"/>
                <w:lang w:val="en-US" w:eastAsia="zh-CN"/>
              </w:rPr>
              <w:t>污染源</w:t>
            </w: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污染物</w:t>
            </w:r>
          </w:p>
        </w:tc>
        <w:tc>
          <w:tcPr>
            <w:tcW w:w="2533" w:type="pct"/>
            <w:tcBorders>
              <w:tl2br w:val="nil"/>
              <w:tr2bl w:val="nil"/>
            </w:tcBorders>
            <w:noWrap/>
            <w:vAlign w:val="center"/>
          </w:tcPr>
          <w:p>
            <w:pPr>
              <w:pStyle w:val="16"/>
              <w:bidi w:val="0"/>
              <w:rPr>
                <w:rFonts w:hint="eastAsia"/>
                <w:lang w:val="en-US" w:eastAsia="zh-CN"/>
              </w:rPr>
            </w:pPr>
            <w:r>
              <w:rPr>
                <w:rFonts w:hint="eastAsia"/>
                <w:lang w:val="en-US" w:eastAsia="zh-CN"/>
              </w:rPr>
              <w:t>治理措施及效率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restart"/>
            <w:tcBorders>
              <w:tl2br w:val="nil"/>
              <w:tr2bl w:val="nil"/>
            </w:tcBorders>
            <w:noWrap/>
            <w:vAlign w:val="center"/>
          </w:tcPr>
          <w:p>
            <w:pPr>
              <w:pStyle w:val="16"/>
              <w:bidi w:val="0"/>
              <w:rPr>
                <w:rFonts w:hint="default"/>
                <w:lang w:val="en-US" w:eastAsia="zh-CN"/>
              </w:rPr>
            </w:pPr>
            <w:r>
              <w:rPr>
                <w:rFonts w:hint="eastAsia"/>
                <w:lang w:val="en-US" w:eastAsia="zh-CN"/>
              </w:rPr>
              <w:t>有组织废气</w:t>
            </w:r>
          </w:p>
        </w:tc>
        <w:tc>
          <w:tcPr>
            <w:tcW w:w="615" w:type="pct"/>
            <w:vMerge w:val="restart"/>
            <w:tcBorders>
              <w:tl2br w:val="nil"/>
              <w:tr2bl w:val="nil"/>
            </w:tcBorders>
            <w:noWrap w:val="0"/>
            <w:vAlign w:val="center"/>
          </w:tcPr>
          <w:p>
            <w:pPr>
              <w:pStyle w:val="16"/>
              <w:bidi w:val="0"/>
              <w:rPr>
                <w:rFonts w:hint="default"/>
                <w:lang w:val="en-US" w:eastAsia="zh-CN"/>
              </w:rPr>
            </w:pPr>
            <w:r>
              <w:rPr>
                <w:rFonts w:hint="eastAsia"/>
                <w:lang w:val="en-US" w:eastAsia="zh-CN"/>
              </w:rPr>
              <w:t>2#尾气排放口DA002</w:t>
            </w: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氯化氢</w:t>
            </w:r>
          </w:p>
        </w:tc>
        <w:tc>
          <w:tcPr>
            <w:tcW w:w="25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olor w:val="auto"/>
                <w:kern w:val="0"/>
                <w:sz w:val="21"/>
                <w:szCs w:val="21"/>
                <w:highlight w:val="none"/>
                <w:lang w:val="en-US" w:eastAsia="zh-CN"/>
              </w:rPr>
              <w:t>酯化反应尾气及储罐区大小呼吸废气经“2级水吸收”预处理，蒸馏废气经“水冷+2级碱吸收”预处理，后经过</w:t>
            </w:r>
            <w:r>
              <w:rPr>
                <w:rStyle w:val="15"/>
                <w:rFonts w:hint="eastAsia" w:ascii="宋体" w:hAnsi="宋体" w:eastAsia="宋体" w:cs="Times New Roman"/>
                <w:color w:val="auto"/>
                <w:kern w:val="2"/>
                <w:sz w:val="21"/>
                <w:highlight w:val="none"/>
                <w:lang w:val="en-US" w:eastAsia="zh-CN" w:bidi="ar-SA"/>
              </w:rPr>
              <w:t>1级碱吸收+2级水吸收+阻水+活性炭吸附+催化燃烧</w:t>
            </w:r>
            <w:r>
              <w:rPr>
                <w:rFonts w:hint="eastAsia"/>
                <w:color w:val="auto"/>
                <w:kern w:val="0"/>
                <w:sz w:val="21"/>
                <w:szCs w:val="21"/>
                <w:highlight w:val="none"/>
                <w:lang w:val="en-US" w:eastAsia="zh-CN"/>
              </w:rPr>
              <w:t>”后通过</w:t>
            </w:r>
            <w:r>
              <w:rPr>
                <w:color w:val="auto"/>
                <w:kern w:val="0"/>
                <w:sz w:val="21"/>
                <w:szCs w:val="21"/>
                <w:highlight w:val="none"/>
              </w:rPr>
              <w:t>20m高排气筒</w:t>
            </w:r>
            <w:r>
              <w:rPr>
                <w:rFonts w:hint="eastAsia"/>
                <w:color w:val="auto"/>
                <w:kern w:val="0"/>
                <w:sz w:val="21"/>
                <w:szCs w:val="21"/>
                <w:highlight w:val="none"/>
                <w:lang w:val="en-US" w:eastAsia="zh-CN"/>
              </w:rPr>
              <w:t>DA002</w:t>
            </w:r>
            <w:r>
              <w:rPr>
                <w:color w:val="auto"/>
                <w:kern w:val="0"/>
                <w:sz w:val="21"/>
                <w:szCs w:val="21"/>
                <w:highlight w:val="none"/>
              </w:rPr>
              <w:t>排放</w:t>
            </w:r>
            <w:r>
              <w:rPr>
                <w:rFonts w:hint="eastAsia"/>
                <w:color w:val="auto"/>
                <w:kern w:val="0"/>
                <w:sz w:val="21"/>
                <w:szCs w:val="21"/>
                <w:highlight w:val="none"/>
                <w:lang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酚类</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VOCs</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二氧化硫</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氮氧化物</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restart"/>
            <w:tcBorders>
              <w:tl2br w:val="nil"/>
              <w:tr2bl w:val="nil"/>
            </w:tcBorders>
            <w:noWrap w:val="0"/>
            <w:vAlign w:val="center"/>
          </w:tcPr>
          <w:p>
            <w:pPr>
              <w:pStyle w:val="16"/>
              <w:bidi w:val="0"/>
              <w:rPr>
                <w:rFonts w:hint="default"/>
                <w:lang w:val="en-US" w:eastAsia="zh-CN"/>
              </w:rPr>
            </w:pPr>
            <w:r>
              <w:rPr>
                <w:rFonts w:hint="eastAsia"/>
                <w:lang w:val="en-US" w:eastAsia="zh-CN"/>
              </w:rPr>
              <w:t>污水处理站废气排放口DA003</w:t>
            </w: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臭气浓度</w:t>
            </w:r>
          </w:p>
        </w:tc>
        <w:tc>
          <w:tcPr>
            <w:tcW w:w="2533" w:type="pct"/>
            <w:vMerge w:val="restart"/>
            <w:tcBorders>
              <w:tl2br w:val="nil"/>
              <w:tr2bl w:val="nil"/>
            </w:tcBorders>
            <w:noWrap w:val="0"/>
            <w:vAlign w:val="center"/>
          </w:tcPr>
          <w:p>
            <w:pPr>
              <w:pStyle w:val="16"/>
              <w:bidi w:val="0"/>
              <w:jc w:val="both"/>
              <w:rPr>
                <w:rFonts w:hint="eastAsia" w:eastAsia="宋体"/>
                <w:color w:val="auto"/>
                <w:lang w:val="en-US" w:eastAsia="zh-CN"/>
              </w:rPr>
            </w:pPr>
            <w:r>
              <w:rPr>
                <w:rFonts w:hint="eastAsia"/>
                <w:color w:val="auto"/>
              </w:rPr>
              <w:t>污水处理一体化设备取加盖密闭</w:t>
            </w:r>
            <w:r>
              <w:rPr>
                <w:color w:val="auto"/>
              </w:rPr>
              <w:t>+</w:t>
            </w:r>
            <w:r>
              <w:rPr>
                <w:rFonts w:hint="eastAsia"/>
                <w:color w:val="auto"/>
              </w:rPr>
              <w:t>管道收集，废气收集后由1套生物除臭系统处理，处理后通过1根</w:t>
            </w:r>
            <w:r>
              <w:rPr>
                <w:color w:val="auto"/>
              </w:rPr>
              <w:t>15m</w:t>
            </w:r>
            <w:r>
              <w:rPr>
                <w:rFonts w:hint="eastAsia"/>
                <w:color w:val="auto"/>
              </w:rPr>
              <w:t>高排气筒</w:t>
            </w:r>
            <w:r>
              <w:rPr>
                <w:rFonts w:hint="eastAsia"/>
                <w:color w:val="auto"/>
                <w:lang w:val="en-US" w:eastAsia="zh-CN"/>
              </w:rPr>
              <w:t>DA003</w:t>
            </w:r>
            <w:r>
              <w:rPr>
                <w:rFonts w:hint="eastAsia"/>
                <w:color w:val="auto"/>
              </w:rPr>
              <w:t>排放</w:t>
            </w:r>
            <w:r>
              <w:rPr>
                <w:rFonts w:hint="eastAsia"/>
                <w:color w:val="auto"/>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硫化氢</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氨</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VOCs</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restart"/>
            <w:tcBorders>
              <w:tl2br w:val="nil"/>
              <w:tr2bl w:val="nil"/>
            </w:tcBorders>
            <w:noWrap w:val="0"/>
            <w:vAlign w:val="center"/>
          </w:tcPr>
          <w:p>
            <w:pPr>
              <w:pStyle w:val="16"/>
              <w:bidi w:val="0"/>
              <w:ind w:firstLine="0" w:firstLineChars="0"/>
              <w:rPr>
                <w:rFonts w:hint="eastAsia"/>
                <w:lang w:val="en-US" w:eastAsia="zh-CN"/>
              </w:rPr>
            </w:pPr>
            <w:r>
              <w:rPr>
                <w:rFonts w:hint="eastAsia"/>
                <w:lang w:val="en-US" w:eastAsia="zh-CN"/>
              </w:rPr>
              <w:t>罐区</w:t>
            </w:r>
          </w:p>
        </w:tc>
        <w:tc>
          <w:tcPr>
            <w:tcW w:w="1096" w:type="pct"/>
            <w:tcBorders>
              <w:tl2br w:val="nil"/>
              <w:tr2bl w:val="nil"/>
            </w:tcBorders>
            <w:noWrap/>
            <w:vAlign w:val="center"/>
          </w:tcPr>
          <w:p>
            <w:pPr>
              <w:pStyle w:val="1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lang w:val="en-US" w:eastAsia="zh-CN"/>
              </w:rPr>
              <w:t>氯化氢</w:t>
            </w:r>
          </w:p>
        </w:tc>
        <w:tc>
          <w:tcPr>
            <w:tcW w:w="2533" w:type="pct"/>
            <w:vMerge w:val="restart"/>
            <w:tcBorders>
              <w:tl2br w:val="nil"/>
              <w:tr2bl w:val="nil"/>
            </w:tcBorders>
            <w:noWrap w:val="0"/>
            <w:vAlign w:val="center"/>
          </w:tcPr>
          <w:p>
            <w:pPr>
              <w:pStyle w:val="16"/>
              <w:bidi w:val="0"/>
              <w:jc w:val="both"/>
              <w:rPr>
                <w:color w:val="auto"/>
              </w:rPr>
            </w:pPr>
            <w:r>
              <w:rPr>
                <w:color w:val="auto"/>
              </w:rPr>
              <w:t>盐酸储罐：</w:t>
            </w:r>
            <w:r>
              <w:rPr>
                <w:rFonts w:hint="eastAsia"/>
                <w:color w:val="auto"/>
                <w:lang w:val="en-US" w:eastAsia="zh-CN"/>
              </w:rPr>
              <w:t>呼</w:t>
            </w:r>
            <w:r>
              <w:rPr>
                <w:rFonts w:hint="eastAsia"/>
                <w:color w:val="auto"/>
              </w:rPr>
              <w:t>吸废气经引风收集引致</w:t>
            </w:r>
            <w:r>
              <w:rPr>
                <w:rFonts w:hint="eastAsia"/>
                <w:color w:val="auto"/>
                <w:lang w:val="en-US" w:eastAsia="zh-CN"/>
              </w:rPr>
              <w:t>三级降膜吸收冷凝，后经</w:t>
            </w:r>
            <w:r>
              <w:rPr>
                <w:rFonts w:hint="eastAsia"/>
                <w:color w:val="auto"/>
              </w:rPr>
              <w:t>尾气处理装置“</w:t>
            </w:r>
            <w:r>
              <w:rPr>
                <w:rFonts w:hint="eastAsia"/>
                <w:color w:val="auto"/>
                <w:lang w:eastAsia="zh-CN"/>
              </w:rPr>
              <w:t>二级水吸收+一级碱液吸收</w:t>
            </w:r>
            <w:r>
              <w:rPr>
                <w:rFonts w:hint="eastAsia"/>
                <w:color w:val="auto"/>
                <w:lang w:val="en-US" w:eastAsia="zh-CN"/>
              </w:rPr>
              <w:t>+二级水吸收</w:t>
            </w:r>
            <w:r>
              <w:rPr>
                <w:rFonts w:hint="eastAsia"/>
                <w:color w:val="auto"/>
                <w:lang w:eastAsia="zh-CN"/>
              </w:rPr>
              <w:t>+阻水器+活性炭吸附+脱附催化燃烧</w:t>
            </w:r>
            <w:r>
              <w:rPr>
                <w:rFonts w:hint="eastAsia"/>
                <w:color w:val="auto"/>
              </w:rPr>
              <w:t>”处理。</w:t>
            </w:r>
          </w:p>
          <w:p>
            <w:pPr>
              <w:pStyle w:val="16"/>
              <w:bidi w:val="0"/>
              <w:jc w:val="both"/>
              <w:rPr>
                <w:rFonts w:hint="eastAsia"/>
                <w:color w:val="auto"/>
                <w:lang w:val="en-US" w:eastAsia="zh-CN"/>
              </w:rPr>
            </w:pPr>
            <w:r>
              <w:rPr>
                <w:color w:val="auto"/>
              </w:rPr>
              <w:t>酚类储罐：</w:t>
            </w:r>
            <w:r>
              <w:rPr>
                <w:rFonts w:hint="eastAsia"/>
                <w:color w:val="auto"/>
              </w:rPr>
              <w:t>呼吸废气经引风收集引致尾气处理装置“</w:t>
            </w:r>
            <w:r>
              <w:rPr>
                <w:rFonts w:hint="eastAsia"/>
                <w:color w:val="auto"/>
                <w:lang w:eastAsia="zh-CN"/>
              </w:rPr>
              <w:t>二级水吸收+一级碱液吸收</w:t>
            </w:r>
            <w:r>
              <w:rPr>
                <w:rFonts w:hint="eastAsia"/>
                <w:color w:val="auto"/>
                <w:lang w:val="en-US" w:eastAsia="zh-CN"/>
              </w:rPr>
              <w:t>+二级水吸收</w:t>
            </w:r>
            <w:r>
              <w:rPr>
                <w:rFonts w:hint="eastAsia"/>
                <w:color w:val="auto"/>
                <w:lang w:eastAsia="zh-CN"/>
              </w:rPr>
              <w:t>+阻水器+活性炭吸附+脱附催化燃烧</w:t>
            </w:r>
            <w:r>
              <w:rPr>
                <w:rFonts w:hint="eastAsia"/>
                <w:color w:val="auto"/>
              </w:rPr>
              <w:t>”处理。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lang w:val="en-US" w:eastAsia="zh-CN"/>
              </w:rPr>
              <w:t>酚类</w:t>
            </w:r>
          </w:p>
        </w:tc>
        <w:tc>
          <w:tcPr>
            <w:tcW w:w="2533" w:type="pct"/>
            <w:vMerge w:val="continue"/>
            <w:tcBorders>
              <w:tl2br w:val="nil"/>
              <w:tr2bl w:val="nil"/>
            </w:tcBorders>
            <w:noWrap w:val="0"/>
            <w:vAlign w:val="center"/>
          </w:tcPr>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restart"/>
            <w:tcBorders>
              <w:tl2br w:val="nil"/>
              <w:tr2bl w:val="nil"/>
            </w:tcBorders>
            <w:noWrap/>
            <w:vAlign w:val="center"/>
          </w:tcPr>
          <w:p>
            <w:pPr>
              <w:pStyle w:val="16"/>
              <w:bidi w:val="0"/>
              <w:rPr>
                <w:rFonts w:hint="default"/>
                <w:lang w:val="en-US" w:eastAsia="zh-CN"/>
              </w:rPr>
            </w:pPr>
            <w:r>
              <w:rPr>
                <w:rFonts w:hint="eastAsia"/>
                <w:lang w:val="en-US" w:eastAsia="zh-CN"/>
              </w:rPr>
              <w:t>无组织废气</w:t>
            </w:r>
          </w:p>
        </w:tc>
        <w:tc>
          <w:tcPr>
            <w:tcW w:w="615" w:type="pct"/>
            <w:vMerge w:val="restart"/>
            <w:tcBorders>
              <w:tl2br w:val="nil"/>
              <w:tr2bl w:val="nil"/>
            </w:tcBorders>
            <w:noWrap w:val="0"/>
            <w:vAlign w:val="center"/>
          </w:tcPr>
          <w:p>
            <w:pPr>
              <w:pStyle w:val="16"/>
              <w:bidi w:val="0"/>
              <w:rPr>
                <w:rFonts w:hint="eastAsia"/>
                <w:lang w:val="en-US" w:eastAsia="zh-CN"/>
              </w:rPr>
            </w:pPr>
            <w:r>
              <w:rPr>
                <w:rFonts w:hint="eastAsia"/>
                <w:lang w:val="en-US" w:eastAsia="zh-CN"/>
              </w:rPr>
              <w:t>1#生产车间</w:t>
            </w: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氯化氢</w:t>
            </w:r>
          </w:p>
        </w:tc>
        <w:tc>
          <w:tcPr>
            <w:tcW w:w="2533" w:type="pct"/>
            <w:vMerge w:val="restart"/>
            <w:tcBorders>
              <w:tl2br w:val="nil"/>
              <w:tr2bl w:val="nil"/>
            </w:tcBorders>
            <w:noWrap w:val="0"/>
            <w:vAlign w:val="center"/>
          </w:tcPr>
          <w:p>
            <w:pPr>
              <w:pStyle w:val="16"/>
              <w:bidi w:val="0"/>
              <w:jc w:val="both"/>
              <w:rPr>
                <w:rFonts w:hint="eastAsia"/>
                <w:color w:val="auto"/>
              </w:rPr>
            </w:pPr>
            <w:r>
              <w:rPr>
                <w:rFonts w:hint="eastAsia"/>
                <w:color w:val="auto"/>
              </w:rPr>
              <w:t>车间密闭，</w:t>
            </w:r>
            <w:r>
              <w:rPr>
                <w:rFonts w:hint="eastAsia"/>
                <w:color w:val="auto"/>
                <w:lang w:val="en-US" w:eastAsia="zh-CN"/>
              </w:rPr>
              <w:t>密闭投料</w:t>
            </w:r>
            <w:r>
              <w:rPr>
                <w:rFonts w:hint="eastAsia"/>
                <w:color w:val="auto"/>
                <w:lang w:eastAsia="zh-CN"/>
              </w:rPr>
              <w:t>，</w:t>
            </w:r>
            <w:r>
              <w:rPr>
                <w:color w:val="auto"/>
              </w:rPr>
              <w:t>绿化</w:t>
            </w:r>
            <w:r>
              <w:rPr>
                <w:rFonts w:hint="eastAsia"/>
                <w:color w:val="auto"/>
              </w:rPr>
              <w:t>；</w:t>
            </w:r>
          </w:p>
          <w:p>
            <w:pPr>
              <w:pStyle w:val="16"/>
              <w:bidi w:val="0"/>
              <w:jc w:val="both"/>
              <w:rPr>
                <w:rFonts w:hint="eastAsia"/>
                <w:color w:val="auto"/>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酚类</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颗粒物</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default"/>
                <w:lang w:val="en-US" w:eastAsia="zh-CN"/>
              </w:rPr>
            </w:pPr>
            <w:r>
              <w:rPr>
                <w:rFonts w:hint="eastAsia"/>
                <w:lang w:val="en-US" w:eastAsia="zh-CN"/>
              </w:rPr>
              <w:t>VOCs</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restart"/>
            <w:tcBorders>
              <w:tl2br w:val="nil"/>
              <w:tr2bl w:val="nil"/>
            </w:tcBorders>
            <w:noWrap w:val="0"/>
            <w:vAlign w:val="center"/>
          </w:tcPr>
          <w:p>
            <w:pPr>
              <w:pStyle w:val="16"/>
              <w:bidi w:val="0"/>
              <w:rPr>
                <w:rFonts w:hint="eastAsia"/>
                <w:lang w:val="en-US" w:eastAsia="zh-CN"/>
              </w:rPr>
            </w:pPr>
            <w:r>
              <w:rPr>
                <w:rFonts w:hint="eastAsia"/>
                <w:lang w:val="en-US" w:eastAsia="zh-CN"/>
              </w:rPr>
              <w:t>2#生产车间</w:t>
            </w: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氯化氢</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酚类</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rPr>
                <w:rFonts w:hint="eastAsia"/>
                <w:lang w:val="en-US" w:eastAsia="zh-CN"/>
              </w:rPr>
            </w:pPr>
            <w:r>
              <w:rPr>
                <w:rFonts w:hint="eastAsia"/>
                <w:lang w:val="en-US" w:eastAsia="zh-CN"/>
              </w:rPr>
              <w:t>颗粒物</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restart"/>
            <w:tcBorders>
              <w:tl2br w:val="nil"/>
              <w:tr2bl w:val="nil"/>
            </w:tcBorders>
            <w:noWrap w:val="0"/>
            <w:vAlign w:val="center"/>
          </w:tcPr>
          <w:p>
            <w:pPr>
              <w:pStyle w:val="16"/>
              <w:bidi w:val="0"/>
              <w:rPr>
                <w:rFonts w:hint="default"/>
                <w:lang w:val="en-US" w:eastAsia="zh-CN"/>
              </w:rPr>
            </w:pPr>
            <w:r>
              <w:rPr>
                <w:rFonts w:hint="eastAsia"/>
                <w:lang w:val="en-US" w:eastAsia="zh-CN"/>
              </w:rPr>
              <w:t>污水处理站</w:t>
            </w:r>
          </w:p>
        </w:tc>
        <w:tc>
          <w:tcPr>
            <w:tcW w:w="1096" w:type="pct"/>
            <w:tcBorders>
              <w:tl2br w:val="nil"/>
              <w:tr2bl w:val="nil"/>
            </w:tcBorders>
            <w:noWrap/>
            <w:vAlign w:val="center"/>
          </w:tcPr>
          <w:p>
            <w:pPr>
              <w:pStyle w:val="16"/>
              <w:bidi w:val="0"/>
              <w:ind w:firstLine="0" w:firstLineChars="0"/>
              <w:rPr>
                <w:rFonts w:hint="eastAsia"/>
                <w:lang w:val="en-US" w:eastAsia="zh-CN"/>
              </w:rPr>
            </w:pPr>
            <w:r>
              <w:rPr>
                <w:rFonts w:hint="eastAsia"/>
                <w:lang w:val="en-US" w:eastAsia="zh-CN"/>
              </w:rPr>
              <w:t>臭气浓度</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default"/>
                <w:lang w:val="en-US" w:eastAsia="zh-CN"/>
              </w:rPr>
            </w:pPr>
          </w:p>
        </w:tc>
        <w:tc>
          <w:tcPr>
            <w:tcW w:w="1096" w:type="pct"/>
            <w:tcBorders>
              <w:tl2br w:val="nil"/>
              <w:tr2bl w:val="nil"/>
            </w:tcBorders>
            <w:noWrap/>
            <w:vAlign w:val="center"/>
          </w:tcPr>
          <w:p>
            <w:pPr>
              <w:pStyle w:val="16"/>
              <w:bidi w:val="0"/>
              <w:ind w:firstLine="0" w:firstLineChars="0"/>
              <w:rPr>
                <w:rFonts w:hint="eastAsia"/>
                <w:lang w:val="en-US" w:eastAsia="zh-CN"/>
              </w:rPr>
            </w:pPr>
            <w:r>
              <w:rPr>
                <w:rFonts w:hint="eastAsia"/>
                <w:lang w:val="en-US" w:eastAsia="zh-CN"/>
              </w:rPr>
              <w:t>硫化氢</w:t>
            </w:r>
          </w:p>
        </w:tc>
        <w:tc>
          <w:tcPr>
            <w:tcW w:w="2533" w:type="pct"/>
            <w:vMerge w:val="continue"/>
            <w:tcBorders>
              <w:tl2br w:val="nil"/>
              <w:tr2bl w:val="nil"/>
            </w:tcBorders>
            <w:noWrap w:val="0"/>
            <w:vAlign w:val="center"/>
          </w:tcPr>
          <w:p>
            <w:pPr>
              <w:pStyle w:val="16"/>
              <w:bidi w:val="0"/>
              <w:rPr>
                <w:rFonts w:hint="eastAsia"/>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vMerge w:val="continue"/>
            <w:tcBorders>
              <w:tl2br w:val="nil"/>
              <w:tr2bl w:val="nil"/>
            </w:tcBorders>
            <w:noWrap/>
            <w:vAlign w:val="center"/>
          </w:tcPr>
          <w:p>
            <w:pPr>
              <w:pStyle w:val="16"/>
              <w:bidi w:val="0"/>
              <w:rPr>
                <w:rFonts w:hint="eastAsia"/>
                <w:lang w:val="en-US" w:eastAsia="zh-CN"/>
              </w:rPr>
            </w:pPr>
          </w:p>
        </w:tc>
        <w:tc>
          <w:tcPr>
            <w:tcW w:w="615" w:type="pct"/>
            <w:vMerge w:val="continue"/>
            <w:tcBorders>
              <w:tl2br w:val="nil"/>
              <w:tr2bl w:val="nil"/>
            </w:tcBorders>
            <w:noWrap w:val="0"/>
            <w:vAlign w:val="center"/>
          </w:tcPr>
          <w:p>
            <w:pPr>
              <w:pStyle w:val="16"/>
              <w:bidi w:val="0"/>
              <w:rPr>
                <w:rFonts w:hint="eastAsia"/>
                <w:lang w:val="en-US" w:eastAsia="zh-CN"/>
              </w:rPr>
            </w:pPr>
          </w:p>
        </w:tc>
        <w:tc>
          <w:tcPr>
            <w:tcW w:w="1096" w:type="pct"/>
            <w:tcBorders>
              <w:tl2br w:val="nil"/>
              <w:tr2bl w:val="nil"/>
            </w:tcBorders>
            <w:noWrap/>
            <w:vAlign w:val="center"/>
          </w:tcPr>
          <w:p>
            <w:pPr>
              <w:pStyle w:val="16"/>
              <w:bidi w:val="0"/>
              <w:ind w:firstLine="0" w:firstLineChars="0"/>
              <w:rPr>
                <w:rFonts w:hint="eastAsia"/>
                <w:lang w:val="en-US" w:eastAsia="zh-CN"/>
              </w:rPr>
            </w:pPr>
            <w:r>
              <w:rPr>
                <w:rFonts w:hint="eastAsia"/>
                <w:lang w:val="en-US" w:eastAsia="zh-CN"/>
              </w:rPr>
              <w:t>氨</w:t>
            </w:r>
          </w:p>
        </w:tc>
        <w:tc>
          <w:tcPr>
            <w:tcW w:w="2533" w:type="pct"/>
            <w:vMerge w:val="continue"/>
            <w:tcBorders>
              <w:tl2br w:val="nil"/>
              <w:tr2bl w:val="nil"/>
            </w:tcBorders>
            <w:noWrap w:val="0"/>
            <w:vAlign w:val="center"/>
          </w:tcPr>
          <w:p>
            <w:pPr>
              <w:pStyle w:val="16"/>
              <w:bidi w:val="0"/>
              <w:rPr>
                <w:rFonts w:hint="eastAsia"/>
                <w:lang w:val="en-US" w:eastAsia="zh-CN"/>
              </w:rPr>
            </w:pPr>
          </w:p>
        </w:tc>
      </w:tr>
    </w:tbl>
    <w:p>
      <w:pPr>
        <w:adjustRightInd w:val="0"/>
        <w:ind w:firstLine="480"/>
        <w:outlineLvl w:val="1"/>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（三）噪声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项目噪声主要来源于设备运行噪声，噪声源以机械噪声和空气动力性噪声为主，主要噪声源为反应釜、蒸馏釜、脱水釜、循环冷却塔、泵类、风机等设备，</w:t>
      </w:r>
      <w:r>
        <w:rPr>
          <w:rFonts w:hint="default" w:ascii="Times New Roman" w:hAnsi="Times New Roman" w:eastAsia="宋体" w:cs="Times New Roman"/>
          <w:sz w:val="24"/>
          <w:lang w:val="en-US" w:eastAsia="zh-CN"/>
        </w:rPr>
        <w:t>采取以下防噪措施：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（1）设备控制措施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尽量选用低噪声设备，在噪声级较高的设备上加装</w:t>
      </w:r>
      <w:r>
        <w:rPr>
          <w:rFonts w:hint="eastAsia" w:ascii="Times New Roman" w:hAnsi="Times New Roman" w:eastAsia="宋体" w:cs="Times New Roman"/>
          <w:sz w:val="24"/>
          <w:lang w:val="en-US" w:eastAsia="zh-CN"/>
        </w:rPr>
        <w:t>减震</w:t>
      </w:r>
      <w:r>
        <w:rPr>
          <w:rFonts w:hint="default" w:ascii="Times New Roman" w:hAnsi="Times New Roman" w:eastAsia="宋体" w:cs="Times New Roman"/>
          <w:sz w:val="24"/>
          <w:lang w:val="en-US" w:eastAsia="zh-CN"/>
        </w:rPr>
        <w:t>、隔声装置，各种泵及风机均采取减震基底，连接处采用柔性接头；将高噪声设备置于室内等。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（2）设备安装设计的防噪措施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在设备、管道安装设计中，应注意隔振、防冲击。注意改善气体输送时流场状况，以降低气体动力噪声。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（3）厂房建筑设计中的防噪措施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集中控制采用双层窗，选用吸声性能良好的墙面材料；在结构设计中采用减震平顶、减震内壁和减震地板。机泵等设备采用独立的基础，以减轻共振引起的噪声。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（4）厂区总图布置中的防噪措施</w:t>
      </w:r>
    </w:p>
    <w:p>
      <w:pPr>
        <w:bidi w:val="0"/>
        <w:rPr>
          <w:rFonts w:hint="default" w:ascii="Times New Roman" w:hAnsi="Times New Roman" w:cs="Times New Roman"/>
          <w:sz w:val="24"/>
          <w:szCs w:val="22"/>
          <w:highlight w:val="none"/>
        </w:rPr>
      </w:pPr>
      <w:r>
        <w:rPr>
          <w:rFonts w:hint="default" w:ascii="Times New Roman" w:hAnsi="Times New Roman" w:eastAsia="宋体" w:cs="Times New Roman"/>
          <w:sz w:val="24"/>
          <w:lang w:val="en-US" w:eastAsia="zh-CN"/>
        </w:rPr>
        <w:t>厂区合理布局，噪声源尽量远离厂界。对噪声大的建筑物单独布置，与其他建筑物间距适当加大，以降低噪声的影响</w:t>
      </w:r>
      <w:r>
        <w:rPr>
          <w:rFonts w:hint="default" w:ascii="Times New Roman" w:hAnsi="Times New Roman" w:cs="Times New Roman"/>
          <w:sz w:val="24"/>
          <w:szCs w:val="22"/>
          <w:highlight w:val="none"/>
        </w:rPr>
        <w:t>。</w:t>
      </w:r>
    </w:p>
    <w:p>
      <w:pPr>
        <w:adjustRightInd w:val="0"/>
        <w:ind w:firstLine="480"/>
        <w:outlineLvl w:val="1"/>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（四）固废</w:t>
      </w:r>
    </w:p>
    <w:p>
      <w:pPr>
        <w:bidi w:val="0"/>
        <w:rPr>
          <w:rFonts w:hint="default" w:ascii="Times New Roman" w:hAnsi="Times New Roman" w:cs="Times New Roman"/>
          <w:color w:val="auto"/>
          <w:highlight w:val="none"/>
        </w:rPr>
      </w:pPr>
      <w:r>
        <w:rPr>
          <w:rFonts w:hint="default" w:ascii="Times New Roman" w:hAnsi="Times New Roman" w:eastAsia="宋体" w:cs="Times New Roman"/>
          <w:sz w:val="24"/>
          <w:lang w:val="en-US" w:eastAsia="zh-CN"/>
        </w:rPr>
        <w:t>项目产生固体废物包括：精废滤袋</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废活性炭</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废催化剂</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蒸馏釜残</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蒸发废盐</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废吸附剂</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污水处理站污泥、生活垃圾</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全</w:t>
      </w:r>
      <w:r>
        <w:rPr>
          <w:rFonts w:hint="eastAsia" w:cs="Times New Roman"/>
          <w:color w:val="auto"/>
          <w:highlight w:val="none"/>
          <w:lang w:val="en-US" w:eastAsia="zh-CN"/>
        </w:rPr>
        <w:t>厂</w:t>
      </w:r>
      <w:r>
        <w:rPr>
          <w:rFonts w:hint="default" w:ascii="Times New Roman" w:hAnsi="Times New Roman" w:cs="Times New Roman"/>
          <w:color w:val="auto"/>
          <w:highlight w:val="none"/>
        </w:rPr>
        <w:t>固体废物产生及排放情况见表</w:t>
      </w:r>
      <w:r>
        <w:rPr>
          <w:rFonts w:hint="default" w:ascii="Times New Roman" w:hAnsi="Times New Roman" w:cs="Times New Roman"/>
          <w:color w:val="auto"/>
          <w:highlight w:val="none"/>
          <w:lang w:val="en-US" w:eastAsia="zh-CN"/>
        </w:rPr>
        <w:t>3-1</w:t>
      </w:r>
      <w:r>
        <w:rPr>
          <w:rFonts w:hint="default" w:ascii="Times New Roman" w:hAnsi="Times New Roman" w:cs="Times New Roman"/>
          <w:color w:val="auto"/>
          <w:highlight w:val="none"/>
        </w:rPr>
        <w:t>。</w:t>
      </w:r>
    </w:p>
    <w:p>
      <w:pPr>
        <w:pStyle w:val="1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3-1</w:t>
      </w:r>
      <w:r>
        <w:rPr>
          <w:rFonts w:hint="default" w:ascii="Times New Roman" w:hAnsi="Times New Roman" w:cs="Times New Roman"/>
          <w:color w:val="auto"/>
          <w:highlight w:val="none"/>
        </w:rPr>
        <w:t xml:space="preserve"> </w:t>
      </w:r>
      <w:r>
        <w:rPr>
          <w:rFonts w:hint="eastAsia" w:cs="Times New Roman"/>
          <w:color w:val="auto"/>
          <w:highlight w:val="none"/>
          <w:lang w:val="en-US" w:eastAsia="zh-CN"/>
        </w:rPr>
        <w:t>一期工程</w:t>
      </w:r>
      <w:r>
        <w:rPr>
          <w:rFonts w:hint="default" w:ascii="Times New Roman" w:hAnsi="Times New Roman" w:cs="Times New Roman"/>
          <w:color w:val="auto"/>
          <w:highlight w:val="none"/>
        </w:rPr>
        <w:t>固体废物产生及排放情况一览表</w:t>
      </w:r>
    </w:p>
    <w:tbl>
      <w:tblPr>
        <w:tblStyle w:val="13"/>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052"/>
        <w:gridCol w:w="996"/>
        <w:gridCol w:w="1833"/>
        <w:gridCol w:w="1036"/>
        <w:gridCol w:w="1010"/>
        <w:gridCol w:w="1395"/>
        <w:gridCol w:w="12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tcBorders>
              <w:top w:val="single" w:color="auto" w:sz="18" w:space="0"/>
            </w:tcBorders>
            <w:vAlign w:val="center"/>
          </w:tcPr>
          <w:p>
            <w:pPr>
              <w:pStyle w:val="16"/>
              <w:bidi w:val="0"/>
            </w:pPr>
            <w:r>
              <w:t>类</w:t>
            </w:r>
          </w:p>
          <w:p>
            <w:pPr>
              <w:pStyle w:val="16"/>
              <w:bidi w:val="0"/>
            </w:pPr>
            <w:r>
              <w:t>型</w:t>
            </w:r>
          </w:p>
        </w:tc>
        <w:tc>
          <w:tcPr>
            <w:tcW w:w="577" w:type="pct"/>
            <w:tcBorders>
              <w:top w:val="single" w:color="auto" w:sz="18" w:space="0"/>
            </w:tcBorders>
            <w:vAlign w:val="center"/>
          </w:tcPr>
          <w:p>
            <w:pPr>
              <w:pStyle w:val="16"/>
              <w:bidi w:val="0"/>
            </w:pPr>
            <w:r>
              <w:t>名称</w:t>
            </w:r>
          </w:p>
        </w:tc>
        <w:tc>
          <w:tcPr>
            <w:tcW w:w="546" w:type="pct"/>
            <w:tcBorders>
              <w:top w:val="single" w:color="auto" w:sz="18" w:space="0"/>
            </w:tcBorders>
            <w:vAlign w:val="center"/>
          </w:tcPr>
          <w:p>
            <w:pPr>
              <w:pStyle w:val="16"/>
              <w:bidi w:val="0"/>
            </w:pPr>
            <w:r>
              <w:t>形态</w:t>
            </w:r>
          </w:p>
        </w:tc>
        <w:tc>
          <w:tcPr>
            <w:tcW w:w="1005" w:type="pct"/>
            <w:tcBorders>
              <w:top w:val="single" w:color="auto" w:sz="18" w:space="0"/>
            </w:tcBorders>
            <w:vAlign w:val="center"/>
          </w:tcPr>
          <w:p>
            <w:pPr>
              <w:pStyle w:val="16"/>
              <w:bidi w:val="0"/>
            </w:pPr>
            <w:r>
              <w:t>主要成分</w:t>
            </w:r>
          </w:p>
        </w:tc>
        <w:tc>
          <w:tcPr>
            <w:tcW w:w="568" w:type="pct"/>
            <w:tcBorders>
              <w:top w:val="single" w:color="auto" w:sz="18" w:space="0"/>
            </w:tcBorders>
            <w:vAlign w:val="center"/>
          </w:tcPr>
          <w:p>
            <w:pPr>
              <w:pStyle w:val="16"/>
              <w:keepNext w:val="0"/>
              <w:keepLines w:val="0"/>
              <w:suppressLineNumbers w:val="0"/>
              <w:kinsoku/>
              <w:wordWrap/>
              <w:overflowPunct/>
              <w:topLinePunct w:val="0"/>
              <w:bidi w:val="0"/>
              <w:snapToGrid w:val="0"/>
              <w:spacing w:before="0" w:beforeAutospacing="0" w:after="0" w:afterAutospacing="0"/>
              <w:ind w:left="0" w:leftChars="0" w:right="0" w:rightChars="0" w:firstLine="0" w:firstLineChars="0"/>
              <w:rPr>
                <w:rFonts w:hint="eastAsia" w:eastAsia="宋体"/>
                <w:lang w:val="en-US" w:eastAsia="zh-CN"/>
              </w:rPr>
            </w:pPr>
            <w:r>
              <w:rPr>
                <w:rFonts w:hint="eastAsia"/>
                <w:lang w:val="en-US" w:eastAsia="zh-CN"/>
              </w:rPr>
              <w:t>环评预测产生量t/a</w:t>
            </w:r>
          </w:p>
        </w:tc>
        <w:tc>
          <w:tcPr>
            <w:tcW w:w="554" w:type="pct"/>
            <w:tcBorders>
              <w:top w:val="single" w:color="auto" w:sz="18" w:space="0"/>
            </w:tcBorders>
            <w:vAlign w:val="center"/>
          </w:tcPr>
          <w:p>
            <w:pPr>
              <w:pStyle w:val="16"/>
              <w:keepNext w:val="0"/>
              <w:keepLines w:val="0"/>
              <w:suppressLineNumbers w:val="0"/>
              <w:kinsoku/>
              <w:wordWrap/>
              <w:overflowPunct/>
              <w:topLinePunct w:val="0"/>
              <w:bidi w:val="0"/>
              <w:snapToGrid w:val="0"/>
              <w:spacing w:before="0" w:beforeAutospacing="0" w:after="0" w:afterAutospacing="0"/>
              <w:ind w:left="0" w:leftChars="0" w:right="0" w:rightChars="0" w:firstLine="0" w:firstLineChars="0"/>
            </w:pPr>
            <w:r>
              <w:rPr>
                <w:rFonts w:hint="eastAsia" w:cs="Times New Roman"/>
                <w:lang w:val="en-US" w:eastAsia="zh-CN"/>
              </w:rPr>
              <w:t>二期工程</w:t>
            </w:r>
            <w:r>
              <w:rPr>
                <w:rFonts w:hint="eastAsia"/>
                <w:lang w:val="en-US" w:eastAsia="zh-CN"/>
              </w:rPr>
              <w:t>实际产生量</w:t>
            </w:r>
            <w:r>
              <w:rPr>
                <w:rFonts w:hint="default"/>
                <w:lang w:val="en-US" w:eastAsia="zh-CN"/>
              </w:rPr>
              <w:t>t/a</w:t>
            </w:r>
          </w:p>
        </w:tc>
        <w:tc>
          <w:tcPr>
            <w:tcW w:w="765" w:type="pct"/>
            <w:tcBorders>
              <w:top w:val="single" w:color="auto" w:sz="18" w:space="0"/>
            </w:tcBorders>
            <w:vAlign w:val="center"/>
          </w:tcPr>
          <w:p>
            <w:pPr>
              <w:pStyle w:val="16"/>
              <w:bidi w:val="0"/>
            </w:pPr>
            <w:r>
              <w:t>危废类别</w:t>
            </w:r>
          </w:p>
          <w:p>
            <w:pPr>
              <w:pStyle w:val="16"/>
              <w:bidi w:val="0"/>
            </w:pPr>
            <w:r>
              <w:t>代码</w:t>
            </w:r>
          </w:p>
        </w:tc>
        <w:tc>
          <w:tcPr>
            <w:tcW w:w="660" w:type="pct"/>
            <w:tcBorders>
              <w:top w:val="single" w:color="auto" w:sz="18" w:space="0"/>
            </w:tcBorders>
            <w:vAlign w:val="center"/>
          </w:tcPr>
          <w:p>
            <w:pPr>
              <w:pStyle w:val="16"/>
              <w:bidi w:val="0"/>
            </w:pPr>
            <w: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21" w:type="pct"/>
            <w:tcBorders>
              <w:tl2br w:val="nil"/>
              <w:tr2bl w:val="nil"/>
            </w:tcBorders>
            <w:vAlign w:val="center"/>
          </w:tcPr>
          <w:p>
            <w:pPr>
              <w:pStyle w:val="16"/>
              <w:bidi w:val="0"/>
            </w:pPr>
            <w:r>
              <w:rPr>
                <w:rFonts w:hint="eastAsia"/>
              </w:rPr>
              <w:t>一般固废</w:t>
            </w:r>
          </w:p>
        </w:tc>
        <w:tc>
          <w:tcPr>
            <w:tcW w:w="577" w:type="pct"/>
            <w:tcBorders>
              <w:tl2br w:val="nil"/>
              <w:tr2bl w:val="nil"/>
            </w:tcBorders>
            <w:vAlign w:val="center"/>
          </w:tcPr>
          <w:p>
            <w:pPr>
              <w:pStyle w:val="16"/>
              <w:bidi w:val="0"/>
            </w:pPr>
            <w:r>
              <w:t>生活垃圾</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pPr>
            <w:r>
              <w:t>塑料、废纸、餐余垃圾</w:t>
            </w:r>
          </w:p>
        </w:tc>
        <w:tc>
          <w:tcPr>
            <w:tcW w:w="568" w:type="pct"/>
            <w:tcBorders>
              <w:tl2br w:val="nil"/>
              <w:tr2bl w:val="nil"/>
            </w:tcBorders>
            <w:vAlign w:val="center"/>
          </w:tcPr>
          <w:p>
            <w:pPr>
              <w:pStyle w:val="16"/>
              <w:bidi w:val="0"/>
              <w:rPr>
                <w:rFonts w:hint="eastAsia"/>
                <w:lang w:val="en-US" w:eastAsia="zh-CN"/>
              </w:rPr>
            </w:pPr>
            <w:r>
              <w:t>5.49</w:t>
            </w:r>
          </w:p>
        </w:tc>
        <w:tc>
          <w:tcPr>
            <w:tcW w:w="554" w:type="pct"/>
            <w:tcBorders>
              <w:tl2br w:val="nil"/>
              <w:tr2bl w:val="nil"/>
            </w:tcBorders>
            <w:vAlign w:val="center"/>
          </w:tcPr>
          <w:p>
            <w:pPr>
              <w:pStyle w:val="16"/>
              <w:bidi w:val="0"/>
              <w:ind w:firstLine="0" w:firstLineChars="0"/>
              <w:rPr>
                <w:rFonts w:hint="default"/>
                <w:lang w:val="en-US" w:eastAsia="zh-CN"/>
              </w:rPr>
            </w:pPr>
            <w:r>
              <w:t>5.49</w:t>
            </w:r>
          </w:p>
        </w:tc>
        <w:tc>
          <w:tcPr>
            <w:tcW w:w="765" w:type="pct"/>
            <w:tcBorders>
              <w:tl2br w:val="nil"/>
              <w:tr2bl w:val="nil"/>
            </w:tcBorders>
            <w:vAlign w:val="center"/>
          </w:tcPr>
          <w:p>
            <w:pPr>
              <w:pStyle w:val="16"/>
              <w:bidi w:val="0"/>
            </w:pPr>
            <w:r>
              <w:t>--</w:t>
            </w:r>
          </w:p>
        </w:tc>
        <w:tc>
          <w:tcPr>
            <w:tcW w:w="660" w:type="pct"/>
            <w:tcBorders>
              <w:tl2br w:val="nil"/>
              <w:tr2bl w:val="nil"/>
            </w:tcBorders>
            <w:vAlign w:val="center"/>
          </w:tcPr>
          <w:p>
            <w:pPr>
              <w:pStyle w:val="16"/>
              <w:bidi w:val="0"/>
            </w:pPr>
            <w:r>
              <w:t>委托环卫处置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1" w:type="pct"/>
            <w:vMerge w:val="restart"/>
            <w:tcBorders>
              <w:tl2br w:val="nil"/>
              <w:tr2bl w:val="nil"/>
            </w:tcBorders>
            <w:vAlign w:val="center"/>
          </w:tcPr>
          <w:p>
            <w:pPr>
              <w:pStyle w:val="16"/>
              <w:bidi w:val="0"/>
            </w:pPr>
            <w:r>
              <w:t>危险废物</w:t>
            </w:r>
          </w:p>
        </w:tc>
        <w:tc>
          <w:tcPr>
            <w:tcW w:w="577" w:type="pct"/>
            <w:tcBorders>
              <w:tl2br w:val="nil"/>
              <w:tr2bl w:val="nil"/>
            </w:tcBorders>
            <w:vAlign w:val="center"/>
          </w:tcPr>
          <w:p>
            <w:pPr>
              <w:pStyle w:val="16"/>
              <w:bidi w:val="0"/>
            </w:pPr>
            <w:r>
              <w:t>废滤袋</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pPr>
            <w:r>
              <w:t>沾染磷酸酯</w:t>
            </w:r>
          </w:p>
        </w:tc>
        <w:tc>
          <w:tcPr>
            <w:tcW w:w="568" w:type="pct"/>
            <w:tcBorders>
              <w:tl2br w:val="nil"/>
              <w:tr2bl w:val="nil"/>
            </w:tcBorders>
            <w:vAlign w:val="center"/>
          </w:tcPr>
          <w:p>
            <w:pPr>
              <w:pStyle w:val="16"/>
              <w:bidi w:val="0"/>
              <w:rPr>
                <w:rFonts w:hint="eastAsia"/>
                <w:lang w:val="en-US" w:eastAsia="zh-CN"/>
              </w:rPr>
            </w:pPr>
            <w:r>
              <w:t>0.011</w:t>
            </w:r>
          </w:p>
        </w:tc>
        <w:tc>
          <w:tcPr>
            <w:tcW w:w="554" w:type="pct"/>
            <w:tcBorders>
              <w:tl2br w:val="nil"/>
              <w:tr2bl w:val="nil"/>
            </w:tcBorders>
            <w:vAlign w:val="center"/>
          </w:tcPr>
          <w:p>
            <w:pPr>
              <w:pStyle w:val="16"/>
              <w:bidi w:val="0"/>
              <w:ind w:firstLine="0" w:firstLineChars="0"/>
              <w:rPr>
                <w:rFonts w:hint="eastAsia"/>
                <w:lang w:val="en-US" w:eastAsia="zh-CN"/>
              </w:rPr>
            </w:pPr>
            <w:r>
              <w:t>0.011</w:t>
            </w:r>
          </w:p>
        </w:tc>
        <w:tc>
          <w:tcPr>
            <w:tcW w:w="765" w:type="pct"/>
            <w:tcBorders>
              <w:tl2br w:val="nil"/>
              <w:tr2bl w:val="nil"/>
            </w:tcBorders>
            <w:vAlign w:val="center"/>
          </w:tcPr>
          <w:p>
            <w:pPr>
              <w:pStyle w:val="16"/>
              <w:bidi w:val="0"/>
            </w:pPr>
            <w:r>
              <w:t>HW49</w:t>
            </w:r>
          </w:p>
          <w:p>
            <w:pPr>
              <w:pStyle w:val="16"/>
              <w:bidi w:val="0"/>
            </w:pPr>
            <w:r>
              <w:t>900-041-49</w:t>
            </w:r>
          </w:p>
        </w:tc>
        <w:tc>
          <w:tcPr>
            <w:tcW w:w="660" w:type="pct"/>
            <w:vMerge w:val="restart"/>
            <w:tcBorders>
              <w:tl2br w:val="nil"/>
              <w:tr2bl w:val="nil"/>
            </w:tcBorders>
            <w:vAlign w:val="center"/>
          </w:tcPr>
          <w:p>
            <w:pPr>
              <w:pStyle w:val="16"/>
              <w:bidi w:val="0"/>
            </w:pPr>
            <w:r>
              <w:t>收集后委托</w:t>
            </w:r>
            <w:r>
              <w:rPr>
                <w:rFonts w:hint="eastAsia"/>
              </w:rPr>
              <w:t>高能时代环境</w:t>
            </w:r>
            <w:r>
              <w:rPr>
                <w:rFonts w:hint="eastAsia"/>
                <w:lang w:eastAsia="zh-CN"/>
              </w:rPr>
              <w:t>（</w:t>
            </w:r>
            <w:r>
              <w:rPr>
                <w:rFonts w:hint="eastAsia"/>
              </w:rPr>
              <w:t>滕州</w:t>
            </w:r>
            <w:r>
              <w:rPr>
                <w:rFonts w:hint="eastAsia"/>
                <w:lang w:eastAsia="zh-CN"/>
              </w:rPr>
              <w:t>）</w:t>
            </w:r>
            <w:r>
              <w:rPr>
                <w:rFonts w:hint="eastAsia"/>
              </w:rPr>
              <w:t>环保技术有限公司</w:t>
            </w:r>
            <w:r>
              <w:t>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vAlign w:val="center"/>
          </w:tcPr>
          <w:p>
            <w:pPr>
              <w:pStyle w:val="16"/>
              <w:bidi w:val="0"/>
            </w:pPr>
          </w:p>
        </w:tc>
        <w:tc>
          <w:tcPr>
            <w:tcW w:w="577" w:type="pct"/>
            <w:tcBorders>
              <w:tl2br w:val="nil"/>
              <w:tr2bl w:val="nil"/>
            </w:tcBorders>
            <w:vAlign w:val="center"/>
          </w:tcPr>
          <w:p>
            <w:pPr>
              <w:pStyle w:val="16"/>
              <w:bidi w:val="0"/>
            </w:pPr>
            <w:r>
              <w:t>废活性炭</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pPr>
            <w:r>
              <w:t>有机废气等</w:t>
            </w:r>
          </w:p>
        </w:tc>
        <w:tc>
          <w:tcPr>
            <w:tcW w:w="568" w:type="pct"/>
            <w:tcBorders>
              <w:tl2br w:val="nil"/>
              <w:tr2bl w:val="nil"/>
            </w:tcBorders>
            <w:vAlign w:val="center"/>
          </w:tcPr>
          <w:p>
            <w:pPr>
              <w:pStyle w:val="16"/>
              <w:bidi w:val="0"/>
              <w:rPr>
                <w:rFonts w:hint="eastAsia"/>
                <w:lang w:val="en-US" w:eastAsia="zh-CN"/>
              </w:rPr>
            </w:pPr>
            <w:r>
              <w:rPr>
                <w:rFonts w:hint="eastAsia"/>
                <w:lang w:val="en-US" w:eastAsia="zh-CN"/>
              </w:rPr>
              <w:t>0.8</w:t>
            </w:r>
          </w:p>
        </w:tc>
        <w:tc>
          <w:tcPr>
            <w:tcW w:w="554" w:type="pct"/>
            <w:tcBorders>
              <w:tl2br w:val="nil"/>
              <w:tr2bl w:val="nil"/>
            </w:tcBorders>
            <w:vAlign w:val="center"/>
          </w:tcPr>
          <w:p>
            <w:pPr>
              <w:pStyle w:val="16"/>
              <w:bidi w:val="0"/>
              <w:ind w:firstLine="0" w:firstLineChars="0"/>
              <w:rPr>
                <w:rFonts w:hint="default"/>
                <w:lang w:val="en-US" w:eastAsia="zh-CN"/>
              </w:rPr>
            </w:pPr>
            <w:r>
              <w:rPr>
                <w:rFonts w:hint="eastAsia"/>
                <w:lang w:val="en-US" w:eastAsia="zh-CN"/>
              </w:rPr>
              <w:t>0.8</w:t>
            </w:r>
          </w:p>
        </w:tc>
        <w:tc>
          <w:tcPr>
            <w:tcW w:w="765" w:type="pct"/>
            <w:tcBorders>
              <w:tl2br w:val="nil"/>
              <w:tr2bl w:val="nil"/>
            </w:tcBorders>
            <w:vAlign w:val="center"/>
          </w:tcPr>
          <w:p>
            <w:pPr>
              <w:pStyle w:val="16"/>
              <w:bidi w:val="0"/>
            </w:pPr>
            <w:r>
              <w:t>HW49</w:t>
            </w:r>
          </w:p>
          <w:p>
            <w:pPr>
              <w:pStyle w:val="16"/>
              <w:bidi w:val="0"/>
            </w:pPr>
            <w:r>
              <w:t>900-039-49</w:t>
            </w:r>
          </w:p>
        </w:tc>
        <w:tc>
          <w:tcPr>
            <w:tcW w:w="660" w:type="pct"/>
            <w:vMerge w:val="continue"/>
            <w:tcBorders>
              <w:tl2br w:val="nil"/>
              <w:tr2bl w:val="nil"/>
            </w:tcBorders>
            <w:vAlign w:val="center"/>
          </w:tcPr>
          <w:p>
            <w:pPr>
              <w:pStyle w:val="16"/>
              <w:bidi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vAlign w:val="center"/>
          </w:tcPr>
          <w:p>
            <w:pPr>
              <w:pStyle w:val="16"/>
              <w:bidi w:val="0"/>
            </w:pPr>
          </w:p>
        </w:tc>
        <w:tc>
          <w:tcPr>
            <w:tcW w:w="577" w:type="pct"/>
            <w:tcBorders>
              <w:tl2br w:val="nil"/>
              <w:tr2bl w:val="nil"/>
            </w:tcBorders>
            <w:vAlign w:val="center"/>
          </w:tcPr>
          <w:p>
            <w:pPr>
              <w:pStyle w:val="16"/>
              <w:bidi w:val="0"/>
              <w:rPr>
                <w:rFonts w:hint="eastAsia"/>
                <w:lang w:eastAsia="zh-CN"/>
              </w:rPr>
            </w:pPr>
            <w:r>
              <w:rPr>
                <w:rFonts w:hint="eastAsia"/>
                <w:lang w:eastAsia="zh-CN"/>
              </w:rPr>
              <w:t>废催化剂</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rPr>
                <w:rFonts w:hint="eastAsia"/>
                <w:lang w:eastAsia="zh-CN"/>
              </w:rPr>
            </w:pPr>
            <w:r>
              <w:rPr>
                <w:rFonts w:hint="eastAsia"/>
                <w:lang w:val="en-US" w:eastAsia="zh-CN"/>
              </w:rPr>
              <w:t>Pt、Pd</w:t>
            </w:r>
            <w:r>
              <w:rPr>
                <w:rFonts w:hint="eastAsia"/>
                <w:lang w:eastAsia="zh-CN"/>
              </w:rPr>
              <w:t>重金属等</w:t>
            </w:r>
          </w:p>
        </w:tc>
        <w:tc>
          <w:tcPr>
            <w:tcW w:w="568" w:type="pct"/>
            <w:tcBorders>
              <w:tl2br w:val="nil"/>
              <w:tr2bl w:val="nil"/>
            </w:tcBorders>
            <w:vAlign w:val="center"/>
          </w:tcPr>
          <w:p>
            <w:pPr>
              <w:pStyle w:val="16"/>
              <w:bidi w:val="0"/>
              <w:rPr>
                <w:rFonts w:hint="eastAsia"/>
                <w:lang w:val="en-US" w:eastAsia="zh-CN"/>
              </w:rPr>
            </w:pPr>
            <w:r>
              <w:rPr>
                <w:rFonts w:hint="eastAsia"/>
                <w:lang w:val="en-US" w:eastAsia="zh-CN"/>
              </w:rPr>
              <w:t>0.084</w:t>
            </w:r>
          </w:p>
        </w:tc>
        <w:tc>
          <w:tcPr>
            <w:tcW w:w="554" w:type="pct"/>
            <w:tcBorders>
              <w:tl2br w:val="nil"/>
              <w:tr2bl w:val="nil"/>
            </w:tcBorders>
            <w:vAlign w:val="center"/>
          </w:tcPr>
          <w:p>
            <w:pPr>
              <w:pStyle w:val="16"/>
              <w:bidi w:val="0"/>
              <w:ind w:firstLine="0" w:firstLineChars="0"/>
              <w:rPr>
                <w:rFonts w:hint="default"/>
                <w:lang w:val="en-US" w:eastAsia="zh-CN"/>
              </w:rPr>
            </w:pPr>
            <w:r>
              <w:rPr>
                <w:rFonts w:hint="eastAsia"/>
                <w:lang w:val="en-US" w:eastAsia="zh-CN"/>
              </w:rPr>
              <w:t>0.084</w:t>
            </w:r>
          </w:p>
        </w:tc>
        <w:tc>
          <w:tcPr>
            <w:tcW w:w="765" w:type="pct"/>
            <w:tcBorders>
              <w:tl2br w:val="nil"/>
              <w:tr2bl w:val="nil"/>
            </w:tcBorders>
            <w:vAlign w:val="center"/>
          </w:tcPr>
          <w:p>
            <w:pPr>
              <w:pStyle w:val="16"/>
              <w:bidi w:val="0"/>
            </w:pPr>
            <w:r>
              <w:t>HW49</w:t>
            </w:r>
          </w:p>
          <w:p>
            <w:pPr>
              <w:pStyle w:val="16"/>
              <w:bidi w:val="0"/>
            </w:pPr>
            <w:r>
              <w:t>900-041-49</w:t>
            </w:r>
          </w:p>
        </w:tc>
        <w:tc>
          <w:tcPr>
            <w:tcW w:w="660" w:type="pct"/>
            <w:vMerge w:val="continue"/>
            <w:tcBorders>
              <w:tl2br w:val="nil"/>
              <w:tr2bl w:val="nil"/>
            </w:tcBorders>
            <w:vAlign w:val="center"/>
          </w:tcPr>
          <w:p>
            <w:pPr>
              <w:pStyle w:val="16"/>
              <w:bidi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vAlign w:val="center"/>
          </w:tcPr>
          <w:p>
            <w:pPr>
              <w:pStyle w:val="16"/>
              <w:bidi w:val="0"/>
            </w:pPr>
          </w:p>
        </w:tc>
        <w:tc>
          <w:tcPr>
            <w:tcW w:w="577" w:type="pct"/>
            <w:tcBorders>
              <w:tl2br w:val="nil"/>
              <w:tr2bl w:val="nil"/>
            </w:tcBorders>
            <w:vAlign w:val="center"/>
          </w:tcPr>
          <w:p>
            <w:pPr>
              <w:pStyle w:val="16"/>
              <w:bidi w:val="0"/>
            </w:pPr>
            <w:r>
              <w:t>蒸馏釜残</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pPr>
            <w:r>
              <w:t>催化剂、氯化钠、磷酸钠、磷酸酯焦化聚合物</w:t>
            </w:r>
          </w:p>
        </w:tc>
        <w:tc>
          <w:tcPr>
            <w:tcW w:w="568" w:type="pct"/>
            <w:tcBorders>
              <w:tl2br w:val="nil"/>
              <w:tr2bl w:val="nil"/>
            </w:tcBorders>
            <w:vAlign w:val="center"/>
          </w:tcPr>
          <w:p>
            <w:pPr>
              <w:pStyle w:val="16"/>
              <w:bidi w:val="0"/>
              <w:rPr>
                <w:rFonts w:hint="eastAsia"/>
                <w:lang w:val="en-US" w:eastAsia="zh-CN"/>
              </w:rPr>
            </w:pPr>
            <w:r>
              <w:t>28.63</w:t>
            </w:r>
          </w:p>
        </w:tc>
        <w:tc>
          <w:tcPr>
            <w:tcW w:w="554" w:type="pct"/>
            <w:tcBorders>
              <w:tl2br w:val="nil"/>
              <w:tr2bl w:val="nil"/>
            </w:tcBorders>
            <w:vAlign w:val="center"/>
          </w:tcPr>
          <w:p>
            <w:pPr>
              <w:pStyle w:val="16"/>
              <w:bidi w:val="0"/>
              <w:ind w:firstLine="0" w:firstLineChars="0"/>
              <w:rPr>
                <w:rFonts w:hint="default"/>
                <w:lang w:val="en-US" w:eastAsia="zh-CN"/>
              </w:rPr>
            </w:pPr>
            <w:r>
              <w:t>28.63</w:t>
            </w:r>
          </w:p>
        </w:tc>
        <w:tc>
          <w:tcPr>
            <w:tcW w:w="765" w:type="pct"/>
            <w:tcBorders>
              <w:tl2br w:val="nil"/>
              <w:tr2bl w:val="nil"/>
            </w:tcBorders>
            <w:vAlign w:val="center"/>
          </w:tcPr>
          <w:p>
            <w:pPr>
              <w:pStyle w:val="16"/>
              <w:bidi w:val="0"/>
            </w:pPr>
            <w:r>
              <w:t>HW11</w:t>
            </w:r>
          </w:p>
          <w:p>
            <w:pPr>
              <w:pStyle w:val="16"/>
              <w:bidi w:val="0"/>
            </w:pPr>
            <w:r>
              <w:t>900-013-11</w:t>
            </w:r>
          </w:p>
        </w:tc>
        <w:tc>
          <w:tcPr>
            <w:tcW w:w="660" w:type="pct"/>
            <w:vMerge w:val="continue"/>
            <w:tcBorders>
              <w:tl2br w:val="nil"/>
              <w:tr2bl w:val="nil"/>
            </w:tcBorders>
            <w:vAlign w:val="center"/>
          </w:tcPr>
          <w:p>
            <w:pPr>
              <w:pStyle w:val="16"/>
              <w:bidi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vAlign w:val="center"/>
          </w:tcPr>
          <w:p>
            <w:pPr>
              <w:pStyle w:val="16"/>
              <w:bidi w:val="0"/>
            </w:pPr>
          </w:p>
        </w:tc>
        <w:tc>
          <w:tcPr>
            <w:tcW w:w="577" w:type="pct"/>
            <w:tcBorders>
              <w:tl2br w:val="nil"/>
              <w:tr2bl w:val="nil"/>
            </w:tcBorders>
            <w:vAlign w:val="center"/>
          </w:tcPr>
          <w:p>
            <w:pPr>
              <w:pStyle w:val="16"/>
              <w:bidi w:val="0"/>
            </w:pPr>
            <w:r>
              <w:rPr>
                <w:rFonts w:hint="eastAsia"/>
              </w:rPr>
              <w:t>蒸发废盐</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pPr>
            <w:r>
              <w:t>氯化钠、酚钠盐、氯化镁</w:t>
            </w:r>
          </w:p>
        </w:tc>
        <w:tc>
          <w:tcPr>
            <w:tcW w:w="568" w:type="pct"/>
            <w:tcBorders>
              <w:tl2br w:val="nil"/>
              <w:tr2bl w:val="nil"/>
            </w:tcBorders>
            <w:vAlign w:val="center"/>
          </w:tcPr>
          <w:p>
            <w:pPr>
              <w:pStyle w:val="16"/>
              <w:bidi w:val="0"/>
              <w:rPr>
                <w:rFonts w:hint="eastAsia"/>
                <w:lang w:val="en-US" w:eastAsia="zh-CN"/>
              </w:rPr>
            </w:pPr>
            <w:r>
              <w:rPr>
                <w:rFonts w:hint="eastAsia"/>
              </w:rPr>
              <w:t>91.21</w:t>
            </w:r>
          </w:p>
        </w:tc>
        <w:tc>
          <w:tcPr>
            <w:tcW w:w="554" w:type="pct"/>
            <w:tcBorders>
              <w:tl2br w:val="nil"/>
              <w:tr2bl w:val="nil"/>
            </w:tcBorders>
            <w:vAlign w:val="center"/>
          </w:tcPr>
          <w:p>
            <w:pPr>
              <w:pStyle w:val="16"/>
              <w:bidi w:val="0"/>
              <w:ind w:firstLine="0" w:firstLineChars="0"/>
              <w:rPr>
                <w:rFonts w:hint="eastAsia"/>
                <w:lang w:val="en-US" w:eastAsia="zh-CN"/>
              </w:rPr>
            </w:pPr>
            <w:r>
              <w:rPr>
                <w:rFonts w:hint="eastAsia"/>
              </w:rPr>
              <w:t>91.21</w:t>
            </w:r>
          </w:p>
        </w:tc>
        <w:tc>
          <w:tcPr>
            <w:tcW w:w="765" w:type="pct"/>
            <w:tcBorders>
              <w:tl2br w:val="nil"/>
              <w:tr2bl w:val="nil"/>
            </w:tcBorders>
            <w:vAlign w:val="center"/>
          </w:tcPr>
          <w:p>
            <w:pPr>
              <w:pStyle w:val="16"/>
              <w:bidi w:val="0"/>
            </w:pPr>
            <w:r>
              <w:t>HW</w:t>
            </w:r>
            <w:r>
              <w:rPr>
                <w:rFonts w:hint="eastAsia"/>
              </w:rPr>
              <w:t>39含酚废物</w:t>
            </w:r>
          </w:p>
        </w:tc>
        <w:tc>
          <w:tcPr>
            <w:tcW w:w="660" w:type="pct"/>
            <w:vMerge w:val="continue"/>
            <w:tcBorders>
              <w:tl2br w:val="nil"/>
              <w:tr2bl w:val="nil"/>
            </w:tcBorders>
            <w:vAlign w:val="center"/>
          </w:tcPr>
          <w:p>
            <w:pPr>
              <w:pStyle w:val="16"/>
              <w:bidi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vAlign w:val="center"/>
          </w:tcPr>
          <w:p>
            <w:pPr>
              <w:pStyle w:val="16"/>
              <w:bidi w:val="0"/>
            </w:pPr>
          </w:p>
        </w:tc>
        <w:tc>
          <w:tcPr>
            <w:tcW w:w="577" w:type="pct"/>
            <w:tcBorders>
              <w:tl2br w:val="nil"/>
              <w:tr2bl w:val="nil"/>
            </w:tcBorders>
            <w:vAlign w:val="center"/>
          </w:tcPr>
          <w:p>
            <w:pPr>
              <w:pStyle w:val="16"/>
              <w:bidi w:val="0"/>
            </w:pPr>
            <w:r>
              <w:t>废吸附剂</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pPr>
            <w:r>
              <w:t>沾染磷酸酯</w:t>
            </w:r>
          </w:p>
        </w:tc>
        <w:tc>
          <w:tcPr>
            <w:tcW w:w="568" w:type="pct"/>
            <w:tcBorders>
              <w:tl2br w:val="nil"/>
              <w:tr2bl w:val="nil"/>
            </w:tcBorders>
            <w:vAlign w:val="center"/>
          </w:tcPr>
          <w:p>
            <w:pPr>
              <w:pStyle w:val="16"/>
              <w:bidi w:val="0"/>
              <w:rPr>
                <w:rFonts w:hint="eastAsia"/>
                <w:lang w:val="en-US" w:eastAsia="zh-CN"/>
              </w:rPr>
            </w:pPr>
            <w:r>
              <w:t>4.194</w:t>
            </w:r>
          </w:p>
        </w:tc>
        <w:tc>
          <w:tcPr>
            <w:tcW w:w="554" w:type="pct"/>
            <w:tcBorders>
              <w:tl2br w:val="nil"/>
              <w:tr2bl w:val="nil"/>
            </w:tcBorders>
            <w:vAlign w:val="center"/>
          </w:tcPr>
          <w:p>
            <w:pPr>
              <w:pStyle w:val="16"/>
              <w:bidi w:val="0"/>
              <w:ind w:firstLine="0" w:firstLineChars="0"/>
              <w:rPr>
                <w:rFonts w:hint="eastAsia"/>
                <w:lang w:val="en-US" w:eastAsia="zh-CN"/>
              </w:rPr>
            </w:pPr>
            <w:r>
              <w:t>4.194</w:t>
            </w:r>
          </w:p>
        </w:tc>
        <w:tc>
          <w:tcPr>
            <w:tcW w:w="765" w:type="pct"/>
            <w:tcBorders>
              <w:tl2br w:val="nil"/>
              <w:tr2bl w:val="nil"/>
            </w:tcBorders>
            <w:vAlign w:val="center"/>
          </w:tcPr>
          <w:p>
            <w:pPr>
              <w:pStyle w:val="16"/>
              <w:bidi w:val="0"/>
            </w:pPr>
            <w:r>
              <w:t>HW49</w:t>
            </w:r>
          </w:p>
          <w:p>
            <w:pPr>
              <w:pStyle w:val="16"/>
              <w:bidi w:val="0"/>
            </w:pPr>
            <w:r>
              <w:t>900-041-49</w:t>
            </w:r>
          </w:p>
        </w:tc>
        <w:tc>
          <w:tcPr>
            <w:tcW w:w="660" w:type="pct"/>
            <w:vMerge w:val="continue"/>
            <w:tcBorders>
              <w:tl2br w:val="nil"/>
              <w:tr2bl w:val="nil"/>
            </w:tcBorders>
            <w:vAlign w:val="center"/>
          </w:tcPr>
          <w:p>
            <w:pPr>
              <w:pStyle w:val="16"/>
              <w:bidi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vAlign w:val="center"/>
          </w:tcPr>
          <w:p>
            <w:pPr>
              <w:pStyle w:val="16"/>
              <w:bidi w:val="0"/>
            </w:pPr>
          </w:p>
        </w:tc>
        <w:tc>
          <w:tcPr>
            <w:tcW w:w="577" w:type="pct"/>
            <w:tcBorders>
              <w:tl2br w:val="nil"/>
              <w:tr2bl w:val="nil"/>
            </w:tcBorders>
            <w:vAlign w:val="center"/>
          </w:tcPr>
          <w:p>
            <w:pPr>
              <w:pStyle w:val="16"/>
              <w:bidi w:val="0"/>
            </w:pPr>
            <w:r>
              <w:rPr>
                <w:rFonts w:hint="eastAsia"/>
              </w:rPr>
              <w:t>污水处理站污泥</w:t>
            </w:r>
          </w:p>
        </w:tc>
        <w:tc>
          <w:tcPr>
            <w:tcW w:w="546" w:type="pct"/>
            <w:tcBorders>
              <w:tl2br w:val="nil"/>
              <w:tr2bl w:val="nil"/>
            </w:tcBorders>
            <w:vAlign w:val="center"/>
          </w:tcPr>
          <w:p>
            <w:pPr>
              <w:pStyle w:val="16"/>
              <w:bidi w:val="0"/>
            </w:pPr>
            <w:r>
              <w:t>固态</w:t>
            </w:r>
          </w:p>
        </w:tc>
        <w:tc>
          <w:tcPr>
            <w:tcW w:w="1005" w:type="pct"/>
            <w:tcBorders>
              <w:tl2br w:val="nil"/>
              <w:tr2bl w:val="nil"/>
            </w:tcBorders>
            <w:vAlign w:val="center"/>
          </w:tcPr>
          <w:p>
            <w:pPr>
              <w:pStyle w:val="16"/>
              <w:bidi w:val="0"/>
            </w:pPr>
            <w:r>
              <w:rPr>
                <w:rFonts w:hint="eastAsia"/>
              </w:rPr>
              <w:t>污泥</w:t>
            </w:r>
          </w:p>
        </w:tc>
        <w:tc>
          <w:tcPr>
            <w:tcW w:w="568" w:type="pct"/>
            <w:tcBorders>
              <w:tl2br w:val="nil"/>
              <w:tr2bl w:val="nil"/>
            </w:tcBorders>
            <w:vAlign w:val="center"/>
          </w:tcPr>
          <w:p>
            <w:pPr>
              <w:pStyle w:val="16"/>
              <w:bidi w:val="0"/>
              <w:rPr>
                <w:rFonts w:hint="eastAsia"/>
                <w:lang w:val="en-US" w:eastAsia="zh-CN"/>
              </w:rPr>
            </w:pPr>
            <w:r>
              <w:rPr>
                <w:rFonts w:hint="eastAsia"/>
              </w:rPr>
              <w:t>12.1</w:t>
            </w:r>
          </w:p>
        </w:tc>
        <w:tc>
          <w:tcPr>
            <w:tcW w:w="554" w:type="pct"/>
            <w:tcBorders>
              <w:tl2br w:val="nil"/>
              <w:tr2bl w:val="nil"/>
            </w:tcBorders>
            <w:vAlign w:val="center"/>
          </w:tcPr>
          <w:p>
            <w:pPr>
              <w:pStyle w:val="16"/>
              <w:bidi w:val="0"/>
              <w:ind w:firstLine="0" w:firstLineChars="0"/>
              <w:rPr>
                <w:rFonts w:hint="eastAsia"/>
                <w:lang w:val="en-US" w:eastAsia="zh-CN"/>
              </w:rPr>
            </w:pPr>
            <w:r>
              <w:rPr>
                <w:rFonts w:hint="eastAsia"/>
              </w:rPr>
              <w:t>12.1</w:t>
            </w:r>
          </w:p>
        </w:tc>
        <w:tc>
          <w:tcPr>
            <w:tcW w:w="765" w:type="pct"/>
            <w:tcBorders>
              <w:tl2br w:val="nil"/>
              <w:tr2bl w:val="nil"/>
            </w:tcBorders>
            <w:vAlign w:val="center"/>
          </w:tcPr>
          <w:p>
            <w:pPr>
              <w:pStyle w:val="16"/>
              <w:bidi w:val="0"/>
            </w:pPr>
            <w:r>
              <w:t>HW</w:t>
            </w:r>
            <w:r>
              <w:rPr>
                <w:rFonts w:hint="eastAsia"/>
              </w:rPr>
              <w:t>37</w:t>
            </w:r>
          </w:p>
          <w:p>
            <w:pPr>
              <w:pStyle w:val="16"/>
              <w:bidi w:val="0"/>
            </w:pPr>
            <w:r>
              <w:t>261-063-37</w:t>
            </w:r>
          </w:p>
        </w:tc>
        <w:tc>
          <w:tcPr>
            <w:tcW w:w="660" w:type="pct"/>
            <w:vMerge w:val="continue"/>
            <w:tcBorders>
              <w:tl2br w:val="nil"/>
              <w:tr2bl w:val="nil"/>
            </w:tcBorders>
            <w:vAlign w:val="center"/>
          </w:tcPr>
          <w:p>
            <w:pPr>
              <w:pStyle w:val="16"/>
              <w:bidi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bottom w:val="single" w:color="auto" w:sz="18" w:space="0"/>
            </w:tcBorders>
            <w:vAlign w:val="center"/>
          </w:tcPr>
          <w:p>
            <w:pPr>
              <w:pStyle w:val="16"/>
              <w:bidi w:val="0"/>
            </w:pPr>
          </w:p>
        </w:tc>
        <w:tc>
          <w:tcPr>
            <w:tcW w:w="577" w:type="pct"/>
            <w:tcBorders>
              <w:bottom w:val="single" w:color="auto" w:sz="18" w:space="0"/>
            </w:tcBorders>
            <w:vAlign w:val="center"/>
          </w:tcPr>
          <w:p>
            <w:pPr>
              <w:pStyle w:val="16"/>
              <w:bidi w:val="0"/>
            </w:pPr>
            <w:r>
              <w:rPr>
                <w:rFonts w:hint="eastAsia"/>
                <w:lang w:val="en-US" w:eastAsia="zh-CN"/>
              </w:rPr>
              <w:t>三氯氧磷</w:t>
            </w:r>
            <w:r>
              <w:rPr>
                <w:rFonts w:hint="eastAsia"/>
              </w:rPr>
              <w:t>原料桶</w:t>
            </w:r>
          </w:p>
        </w:tc>
        <w:tc>
          <w:tcPr>
            <w:tcW w:w="546" w:type="pct"/>
            <w:tcBorders>
              <w:bottom w:val="single" w:color="auto" w:sz="18" w:space="0"/>
            </w:tcBorders>
            <w:vAlign w:val="center"/>
          </w:tcPr>
          <w:p>
            <w:pPr>
              <w:pStyle w:val="16"/>
              <w:bidi w:val="0"/>
            </w:pPr>
            <w:r>
              <w:rPr>
                <w:rFonts w:hint="eastAsia"/>
              </w:rPr>
              <w:t>固态</w:t>
            </w:r>
          </w:p>
        </w:tc>
        <w:tc>
          <w:tcPr>
            <w:tcW w:w="1005" w:type="pct"/>
            <w:tcBorders>
              <w:bottom w:val="single" w:color="auto" w:sz="18" w:space="0"/>
            </w:tcBorders>
            <w:vAlign w:val="center"/>
          </w:tcPr>
          <w:p>
            <w:pPr>
              <w:pStyle w:val="16"/>
              <w:bidi w:val="0"/>
            </w:pPr>
            <w:r>
              <w:rPr>
                <w:rFonts w:hint="eastAsia"/>
              </w:rPr>
              <w:t>沾染三氯氧磷</w:t>
            </w:r>
          </w:p>
        </w:tc>
        <w:tc>
          <w:tcPr>
            <w:tcW w:w="568" w:type="pct"/>
            <w:tcBorders>
              <w:bottom w:val="single" w:color="auto" w:sz="18" w:space="0"/>
            </w:tcBorders>
            <w:vAlign w:val="center"/>
          </w:tcPr>
          <w:p>
            <w:pPr>
              <w:pStyle w:val="16"/>
              <w:bidi w:val="0"/>
              <w:rPr>
                <w:rFonts w:hint="eastAsia"/>
                <w:lang w:val="en-US" w:eastAsia="zh-CN"/>
              </w:rPr>
            </w:pPr>
            <w:r>
              <w:rPr>
                <w:rFonts w:hint="eastAsia"/>
              </w:rPr>
              <w:t>11667个</w:t>
            </w:r>
          </w:p>
        </w:tc>
        <w:tc>
          <w:tcPr>
            <w:tcW w:w="554" w:type="pct"/>
            <w:tcBorders>
              <w:bottom w:val="single" w:color="auto" w:sz="18" w:space="0"/>
            </w:tcBorders>
            <w:vAlign w:val="center"/>
          </w:tcPr>
          <w:p>
            <w:pPr>
              <w:pStyle w:val="16"/>
              <w:bidi w:val="0"/>
              <w:rPr>
                <w:rFonts w:hint="eastAsia"/>
                <w:lang w:val="en-US" w:eastAsia="zh-CN"/>
              </w:rPr>
            </w:pPr>
            <w:r>
              <w:rPr>
                <w:rFonts w:hint="eastAsia"/>
                <w:lang w:val="en-US" w:eastAsia="zh-CN"/>
              </w:rPr>
              <w:t>0</w:t>
            </w:r>
          </w:p>
        </w:tc>
        <w:tc>
          <w:tcPr>
            <w:tcW w:w="765" w:type="pct"/>
            <w:tcBorders>
              <w:bottom w:val="single" w:color="auto" w:sz="18" w:space="0"/>
            </w:tcBorders>
            <w:vAlign w:val="center"/>
          </w:tcPr>
          <w:p>
            <w:pPr>
              <w:pStyle w:val="16"/>
              <w:bidi w:val="0"/>
            </w:pPr>
            <w:r>
              <w:rPr>
                <w:rFonts w:hint="eastAsia"/>
              </w:rPr>
              <w:t>/</w:t>
            </w:r>
          </w:p>
        </w:tc>
        <w:tc>
          <w:tcPr>
            <w:tcW w:w="660" w:type="pct"/>
            <w:tcBorders>
              <w:bottom w:val="single" w:color="auto" w:sz="18" w:space="0"/>
            </w:tcBorders>
            <w:vAlign w:val="center"/>
          </w:tcPr>
          <w:p>
            <w:pPr>
              <w:pStyle w:val="16"/>
              <w:bidi w:val="0"/>
              <w:rPr>
                <w:rFonts w:hint="default" w:eastAsia="宋体"/>
                <w:lang w:val="en-US" w:eastAsia="zh-CN"/>
              </w:rPr>
            </w:pPr>
            <w:r>
              <w:rPr>
                <w:rFonts w:hint="eastAsia"/>
                <w:lang w:val="en-US" w:eastAsia="zh-CN"/>
              </w:rPr>
              <w:t>改为储罐储存</w:t>
            </w:r>
          </w:p>
        </w:tc>
      </w:tr>
    </w:tbl>
    <w:p>
      <w:pPr>
        <w:adjustRightInd w:val="0"/>
        <w:ind w:firstLine="480"/>
        <w:outlineLvl w:val="1"/>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（五）其他环境保护设施</w:t>
      </w:r>
    </w:p>
    <w:p>
      <w:pPr>
        <w:numPr>
          <w:ilvl w:val="0"/>
          <w:numId w:val="4"/>
        </w:numPr>
        <w:bidi w:val="0"/>
        <w:outlineLvl w:val="2"/>
        <w:rPr>
          <w:rFonts w:hint="default" w:ascii="Times New Roman" w:hAnsi="Times New Roman" w:cs="Times New Roman"/>
          <w:highlight w:val="none"/>
        </w:rPr>
      </w:pPr>
      <w:r>
        <w:rPr>
          <w:rFonts w:hint="default" w:ascii="Times New Roman" w:hAnsi="Times New Roman" w:cs="Times New Roman"/>
          <w:highlight w:val="none"/>
        </w:rPr>
        <w:t>环境风险防范设施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大气环境防范措施为：生产车间及罐区均设置有毒气体</w:t>
      </w:r>
      <w:r>
        <w:rPr>
          <w:rFonts w:hint="eastAsia" w:ascii="Times New Roman" w:hAnsi="Times New Roman" w:eastAsia="宋体" w:cs="Times New Roman"/>
          <w:sz w:val="24"/>
          <w:lang w:val="en-US" w:eastAsia="zh-CN"/>
        </w:rPr>
        <w:t>泄漏</w:t>
      </w:r>
      <w:r>
        <w:rPr>
          <w:rFonts w:hint="default" w:ascii="Times New Roman" w:hAnsi="Times New Roman" w:eastAsia="宋体" w:cs="Times New Roman"/>
          <w:sz w:val="24"/>
          <w:lang w:val="en-US" w:eastAsia="zh-CN"/>
        </w:rPr>
        <w:t>报警设施，储罐及有毒有害液体管道均设有压力及流量监控设施，能及时发现储罐或设备的</w:t>
      </w:r>
      <w:r>
        <w:rPr>
          <w:rFonts w:hint="eastAsia" w:ascii="Times New Roman" w:hAnsi="Times New Roman" w:eastAsia="宋体" w:cs="Times New Roman"/>
          <w:sz w:val="24"/>
          <w:lang w:val="en-US" w:eastAsia="zh-CN"/>
        </w:rPr>
        <w:t>泄漏</w:t>
      </w:r>
      <w:r>
        <w:rPr>
          <w:rFonts w:hint="default" w:ascii="Times New Roman" w:hAnsi="Times New Roman" w:eastAsia="宋体" w:cs="Times New Roman"/>
          <w:sz w:val="24"/>
          <w:lang w:val="en-US" w:eastAsia="zh-CN"/>
        </w:rPr>
        <w:t>；厂区内设置疏散标志，引导厂内员工事故状态下有序疏散。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地表水风险防范措施：原料罐区</w:t>
      </w:r>
      <w:r>
        <w:rPr>
          <w:rFonts w:hint="eastAsia" w:cs="Times New Roman"/>
          <w:sz w:val="24"/>
          <w:lang w:val="en-US" w:eastAsia="zh-CN"/>
        </w:rPr>
        <w:t>、盐酸罐区</w:t>
      </w:r>
      <w:r>
        <w:rPr>
          <w:rFonts w:hint="default" w:ascii="Times New Roman" w:hAnsi="Times New Roman" w:eastAsia="宋体" w:cs="Times New Roman"/>
          <w:sz w:val="24"/>
          <w:lang w:val="en-US" w:eastAsia="zh-CN"/>
        </w:rPr>
        <w:t>设置围堰</w:t>
      </w:r>
      <w:r>
        <w:rPr>
          <w:rFonts w:hint="eastAsia" w:cs="Times New Roman"/>
          <w:sz w:val="24"/>
          <w:lang w:val="en-US" w:eastAsia="zh-CN"/>
        </w:rPr>
        <w:t>，</w:t>
      </w:r>
      <w:r>
        <w:rPr>
          <w:rFonts w:hint="default" w:ascii="Times New Roman" w:hAnsi="Times New Roman" w:eastAsia="宋体" w:cs="Times New Roman"/>
          <w:sz w:val="24"/>
          <w:lang w:val="en-US" w:eastAsia="zh-CN"/>
        </w:rPr>
        <w:t>长33m</w:t>
      </w:r>
      <w:r>
        <w:rPr>
          <w:rFonts w:hint="eastAsia" w:cs="Times New Roman"/>
          <w:sz w:val="24"/>
          <w:lang w:val="en-US" w:eastAsia="zh-CN"/>
        </w:rPr>
        <w:t>×</w:t>
      </w:r>
      <w:r>
        <w:rPr>
          <w:rFonts w:hint="default" w:ascii="Times New Roman" w:hAnsi="Times New Roman" w:eastAsia="宋体" w:cs="Times New Roman"/>
          <w:sz w:val="24"/>
          <w:lang w:val="en-US" w:eastAsia="zh-CN"/>
        </w:rPr>
        <w:t>宽11m</w:t>
      </w:r>
      <w:r>
        <w:rPr>
          <w:rFonts w:hint="eastAsia" w:cs="Times New Roman"/>
          <w:sz w:val="24"/>
          <w:lang w:val="en-US" w:eastAsia="zh-CN"/>
        </w:rPr>
        <w:t>×</w:t>
      </w:r>
      <w:r>
        <w:rPr>
          <w:rFonts w:hint="default" w:ascii="Times New Roman" w:hAnsi="Times New Roman" w:eastAsia="宋体" w:cs="Times New Roman"/>
          <w:sz w:val="24"/>
          <w:lang w:val="en-US" w:eastAsia="zh-CN"/>
        </w:rPr>
        <w:t>高1.7m</w:t>
      </w:r>
      <w:r>
        <w:rPr>
          <w:rFonts w:hint="eastAsia" w:cs="Times New Roman"/>
          <w:sz w:val="24"/>
          <w:lang w:val="en-US" w:eastAsia="zh-CN"/>
        </w:rPr>
        <w:t>，容积617.1m³</w:t>
      </w:r>
      <w:r>
        <w:rPr>
          <w:rFonts w:hint="default" w:ascii="Times New Roman" w:hAnsi="Times New Roman" w:eastAsia="宋体" w:cs="Times New Roman"/>
          <w:sz w:val="24"/>
          <w:lang w:val="en-US" w:eastAsia="zh-CN"/>
        </w:rPr>
        <w:t>，围堰净空容积大于围堰内最大储罐的容积。厂区设置完善的三级环境风险防控体系，建设事故废水导排系统，建设事故池</w:t>
      </w:r>
      <w:r>
        <w:rPr>
          <w:rFonts w:hint="eastAsia" w:cs="Times New Roman"/>
          <w:sz w:val="24"/>
          <w:lang w:val="en-US" w:eastAsia="zh-CN"/>
        </w:rPr>
        <w:t>容积720m³，</w:t>
      </w:r>
      <w:r>
        <w:rPr>
          <w:rFonts w:hint="default" w:ascii="Times New Roman" w:hAnsi="Times New Roman" w:eastAsia="宋体" w:cs="Times New Roman"/>
          <w:sz w:val="24"/>
          <w:lang w:val="en-US" w:eastAsia="zh-CN"/>
        </w:rPr>
        <w:t>收集事故废水。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地下水风险防范措施：采取分区防渗措施，防渗系数应满足相应标准要求，建设地下水井作为监控井，加强对地下水水质的监控，及时发现事故并预警。</w:t>
      </w:r>
    </w:p>
    <w:p>
      <w:pPr>
        <w:tabs>
          <w:tab w:val="left" w:pos="1995"/>
        </w:tabs>
        <w:spacing w:line="360" w:lineRule="auto"/>
        <w:ind w:firstLine="480" w:firstLineChars="200"/>
        <w:rPr>
          <w:rFonts w:hint="default" w:ascii="Times New Roman" w:hAnsi="Times New Roman" w:cs="Times New Roman"/>
          <w:sz w:val="24"/>
          <w:highlight w:val="none"/>
        </w:rPr>
      </w:pPr>
      <w:r>
        <w:rPr>
          <w:rFonts w:hint="eastAsia" w:ascii="Times New Roman" w:hAnsi="Times New Roman" w:eastAsia="宋体" w:cs="Times New Roman"/>
          <w:sz w:val="24"/>
          <w:lang w:val="en-US" w:eastAsia="zh-CN"/>
        </w:rPr>
        <w:t>应急监测及预警：制定合理的应急监测计划及预警监测计划</w:t>
      </w:r>
      <w:r>
        <w:rPr>
          <w:rFonts w:hint="default" w:ascii="Times New Roman" w:hAnsi="Times New Roman" w:cs="Times New Roman"/>
          <w:sz w:val="24"/>
          <w:highlight w:val="none"/>
        </w:rPr>
        <w:t>。</w:t>
      </w:r>
    </w:p>
    <w:p>
      <w:pPr>
        <w:bidi w:val="0"/>
        <w:outlineLvl w:val="2"/>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雨污分流</w:t>
      </w:r>
    </w:p>
    <w:p>
      <w:pPr>
        <w:pStyle w:val="4"/>
        <w:rPr>
          <w:rFonts w:hint="default" w:ascii="Times New Roman" w:hAnsi="Times New Roman" w:cs="Times New Roman"/>
          <w:color w:val="auto"/>
          <w:highlight w:val="none"/>
        </w:rPr>
      </w:pPr>
      <w:r>
        <w:rPr>
          <w:rFonts w:hint="eastAsia" w:ascii="Times New Roman" w:hAnsi="Times New Roman" w:eastAsia="宋体" w:cs="Times New Roman"/>
          <w:sz w:val="24"/>
          <w:lang w:val="en-US" w:eastAsia="zh-CN"/>
        </w:rPr>
        <w:t>厂区实行“雨污分流、清污分流原则”，设置独立的初期雨水收集系统，设立独立的初期雨水管道。同时，锅炉排污水、纯水制备尾水回用于甲醛装置吸收塔；化验室废水及经厂区化粪池处理的生活污水等进入厂内污水处理站处理后通过园区污水管网排入园区污水处理厂集中处理</w:t>
      </w:r>
      <w:r>
        <w:rPr>
          <w:rFonts w:hint="default" w:ascii="Times New Roman" w:hAnsi="Times New Roman" w:cs="Times New Roman"/>
          <w:color w:val="auto"/>
          <w:highlight w:val="none"/>
        </w:rPr>
        <w:t>。</w:t>
      </w:r>
    </w:p>
    <w:p>
      <w:pPr>
        <w:bidi w:val="0"/>
        <w:outlineLvl w:val="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防渗防腐措施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生产车间地面设置基础防渗，如有生产废水及时清理，防止地面污水渗入地下。生产废水通过管道汇入污水处理系统，做好管道的连接施工，进行相应的防腐防渗处理，可以有效防止由于管道滴漏产生的污水直接污染土壤。办公区生活污水通过管道汇入化粪池，做好管道的连接施工，</w:t>
      </w:r>
      <w:r>
        <w:rPr>
          <w:rFonts w:hint="eastAsia" w:ascii="Times New Roman" w:hAnsi="Times New Roman" w:eastAsia="宋体" w:cs="Times New Roman"/>
          <w:sz w:val="24"/>
          <w:lang w:val="en-US" w:eastAsia="zh-CN"/>
        </w:rPr>
        <w:t>能够</w:t>
      </w:r>
      <w:r>
        <w:rPr>
          <w:rFonts w:hint="default" w:ascii="Times New Roman" w:hAnsi="Times New Roman" w:eastAsia="宋体" w:cs="Times New Roman"/>
          <w:sz w:val="24"/>
          <w:lang w:val="en-US" w:eastAsia="zh-CN"/>
        </w:rPr>
        <w:t>有效防止由于管道滴漏产生的污水直接污染土壤，不会产生地表漫流影响。</w:t>
      </w:r>
    </w:p>
    <w:p>
      <w:pPr>
        <w:pStyle w:val="3"/>
        <w:rPr>
          <w:rFonts w:hint="default"/>
          <w:lang w:val="en-US" w:eastAsia="zh-CN"/>
        </w:rPr>
      </w:pPr>
      <w:r>
        <w:rPr>
          <w:rFonts w:hint="default" w:ascii="Times New Roman" w:hAnsi="Times New Roman" w:eastAsia="宋体" w:cs="Times New Roman"/>
          <w:sz w:val="24"/>
          <w:lang w:val="en-US" w:eastAsia="zh-CN"/>
        </w:rPr>
        <w:t>厂区</w:t>
      </w:r>
      <w:r>
        <w:rPr>
          <w:rFonts w:hint="eastAsia" w:cs="Times New Roman"/>
          <w:sz w:val="24"/>
          <w:lang w:val="en-US" w:eastAsia="zh-CN"/>
        </w:rPr>
        <w:t>防渗区域</w:t>
      </w:r>
      <w:r>
        <w:rPr>
          <w:rFonts w:hint="default" w:ascii="Times New Roman" w:hAnsi="Times New Roman" w:eastAsia="宋体" w:cs="Times New Roman"/>
          <w:sz w:val="24"/>
          <w:lang w:val="en-US" w:eastAsia="zh-CN"/>
        </w:rPr>
        <w:t>均采用PVC胶板防渗</w:t>
      </w:r>
      <w:r>
        <w:rPr>
          <w:rFonts w:hint="eastAsia" w:cs="Times New Roman"/>
          <w:sz w:val="24"/>
          <w:lang w:val="en-US" w:eastAsia="zh-CN"/>
        </w:rPr>
        <w:t>，</w:t>
      </w:r>
      <w:r>
        <w:rPr>
          <w:rFonts w:hint="default" w:ascii="Times New Roman" w:hAnsi="Times New Roman" w:eastAsia="宋体" w:cs="Times New Roman"/>
          <w:sz w:val="24"/>
          <w:lang w:val="en-US" w:eastAsia="zh-CN"/>
        </w:rPr>
        <w:t>PVC胶板</w:t>
      </w:r>
      <w:r>
        <w:rPr>
          <w:rFonts w:hint="eastAsia" w:ascii="Times New Roman" w:hAnsi="Times New Roman" w:eastAsia="宋体" w:cs="Times New Roman"/>
          <w:sz w:val="24"/>
          <w:lang w:val="en-US" w:eastAsia="zh-CN"/>
        </w:rPr>
        <w:t>质量执行GB/T4454-1996，具有良好的化学稳定性，耐腐蚀性，硬度大，强度大，强度高防紫外线(耐老化)，耐火阻燃(具有自熄性)，绝缘性能可靠，表面光洁平整，不吸水，不变形，易加工等特点</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并且内壁及底面设置相应的防腐防渗处理，防止污水下渗，可有效防止污水处理系统的废水下渗，对土壤造成的污染。</w:t>
      </w:r>
      <w:r>
        <w:rPr>
          <w:rFonts w:hint="eastAsia" w:ascii="Times New Roman" w:hAnsi="Times New Roman" w:eastAsia="宋体" w:cs="Times New Roman"/>
          <w:sz w:val="24"/>
          <w:lang w:val="en-US" w:eastAsia="zh-CN"/>
        </w:rPr>
        <w:t>生产装置区地面、事故水池等属于一般防渗区，地下管道、装置内排水沟、初期雨水池、罐区和污水站基础、池体等属于重点防渗区。</w:t>
      </w:r>
      <w:r>
        <w:rPr>
          <w:rFonts w:hint="default" w:ascii="Times New Roman" w:hAnsi="Times New Roman" w:eastAsia="宋体" w:cs="Times New Roman"/>
          <w:sz w:val="24"/>
          <w:lang w:val="en-US" w:eastAsia="zh-CN"/>
        </w:rPr>
        <w:t>一般污染防治区防渗层防渗性能不低于1.5m厚防渗系数为1.0×10</w:t>
      </w:r>
      <w:r>
        <w:rPr>
          <w:rFonts w:hint="default" w:ascii="Times New Roman" w:hAnsi="Times New Roman" w:eastAsia="宋体" w:cs="Times New Roman"/>
          <w:sz w:val="24"/>
          <w:vertAlign w:val="superscript"/>
          <w:lang w:val="en-US" w:eastAsia="zh-CN"/>
        </w:rPr>
        <w:t>-7</w:t>
      </w:r>
      <w:r>
        <w:rPr>
          <w:rFonts w:hint="default" w:ascii="Times New Roman" w:hAnsi="Times New Roman" w:eastAsia="宋体" w:cs="Times New Roman"/>
          <w:sz w:val="24"/>
          <w:lang w:val="en-US" w:eastAsia="zh-CN"/>
        </w:rPr>
        <w:t>cm/s的黏土层的防渗性能，重点污染防治区防渗层防渗性能不低于6.0m厚渗透系数为1.0×10</w:t>
      </w:r>
      <w:r>
        <w:rPr>
          <w:rFonts w:hint="default" w:ascii="Times New Roman" w:hAnsi="Times New Roman" w:eastAsia="宋体" w:cs="Times New Roman"/>
          <w:sz w:val="24"/>
          <w:vertAlign w:val="superscript"/>
          <w:lang w:val="en-US" w:eastAsia="zh-CN"/>
        </w:rPr>
        <w:t>-7</w:t>
      </w:r>
      <w:r>
        <w:rPr>
          <w:rFonts w:hint="default" w:ascii="Times New Roman" w:hAnsi="Times New Roman" w:eastAsia="宋体" w:cs="Times New Roman"/>
          <w:sz w:val="24"/>
          <w:lang w:val="en-US" w:eastAsia="zh-CN"/>
        </w:rPr>
        <w:t>cm/s的黏土层的防渗性能</w:t>
      </w:r>
      <w:r>
        <w:rPr>
          <w:rFonts w:hint="eastAsia" w:cs="Times New Roman"/>
          <w:color w:val="auto"/>
          <w:highlight w:val="none"/>
          <w:lang w:val="en-US" w:eastAsia="zh-CN"/>
        </w:rPr>
        <w:t>。</w:t>
      </w:r>
    </w:p>
    <w:p>
      <w:pPr>
        <w:bidi w:val="0"/>
        <w:outlineLvl w:val="2"/>
        <w:rPr>
          <w:rFonts w:hint="default" w:ascii="Times New Roman" w:hAnsi="Times New Roman" w:cs="Times New Roman"/>
          <w:color w:val="auto"/>
          <w:highlight w:val="none"/>
        </w:rPr>
      </w:pP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规范化排污口、监测设施及在线监测装置</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项目按照规范建设了</w:t>
      </w:r>
      <w:r>
        <w:rPr>
          <w:rFonts w:hint="default" w:ascii="Times New Roman" w:hAnsi="Times New Roman" w:cs="Times New Roman"/>
          <w:color w:val="auto"/>
          <w:highlight w:val="none"/>
          <w:lang w:eastAsia="zh-CN"/>
        </w:rPr>
        <w:t>废气</w:t>
      </w:r>
      <w:r>
        <w:rPr>
          <w:rFonts w:hint="eastAsia" w:cs="Times New Roman"/>
          <w:color w:val="auto"/>
          <w:highlight w:val="none"/>
          <w:lang w:eastAsia="zh-CN"/>
        </w:rPr>
        <w:t>、</w:t>
      </w:r>
      <w:r>
        <w:rPr>
          <w:rFonts w:hint="eastAsia" w:cs="Times New Roman"/>
          <w:color w:val="auto"/>
          <w:highlight w:val="none"/>
          <w:lang w:val="en-US" w:eastAsia="zh-CN"/>
        </w:rPr>
        <w:t>废水</w:t>
      </w:r>
      <w:r>
        <w:rPr>
          <w:rFonts w:hint="default" w:ascii="Times New Roman" w:hAnsi="Times New Roman" w:cs="Times New Roman"/>
          <w:color w:val="auto"/>
          <w:highlight w:val="none"/>
          <w:lang w:eastAsia="zh-CN"/>
        </w:rPr>
        <w:t>排放口</w:t>
      </w:r>
      <w:r>
        <w:rPr>
          <w:rFonts w:hint="default" w:ascii="Times New Roman" w:hAnsi="Times New Roman" w:cs="Times New Roman"/>
          <w:color w:val="auto"/>
          <w:highlight w:val="none"/>
        </w:rPr>
        <w:t>、废气监测平台和废气监测口</w:t>
      </w:r>
      <w:r>
        <w:rPr>
          <w:rFonts w:hint="default" w:ascii="Times New Roman" w:hAnsi="Times New Roman" w:cs="Times New Roman"/>
          <w:color w:val="auto"/>
          <w:highlight w:val="none"/>
          <w:lang w:val="en-US" w:eastAsia="zh-CN"/>
        </w:rPr>
        <w:t>。</w:t>
      </w:r>
    </w:p>
    <w:p>
      <w:pPr>
        <w:bidi w:val="0"/>
        <w:rPr>
          <w:rFonts w:hint="default" w:ascii="Times New Roman" w:hAnsi="Times New Roman" w:cs="Times New Roman"/>
          <w:color w:val="auto"/>
          <w:highlight w:val="none"/>
          <w:lang w:val="en-US" w:eastAsia="zh-CN"/>
        </w:rPr>
      </w:pPr>
      <w:r>
        <w:rPr>
          <w:rFonts w:hint="eastAsia"/>
          <w:lang w:val="en-US" w:eastAsia="zh-CN"/>
        </w:rPr>
        <w:t>根据《</w:t>
      </w:r>
      <w:r>
        <w:rPr>
          <w:rFonts w:hint="default"/>
          <w:lang w:val="en-US" w:eastAsia="zh-CN"/>
        </w:rPr>
        <w:t>山东省生态环境厅关于印发山东省重点排污单位名录制定和污染源自动监测安装联网管理规定的通知</w:t>
      </w:r>
      <w:r>
        <w:rPr>
          <w:rFonts w:hint="eastAsia"/>
          <w:lang w:val="en-US" w:eastAsia="zh-CN"/>
        </w:rPr>
        <w:t>》鲁环发〔2019〕134号文第三条（六）企业排气筒DA002高度为20米，不足45米，内径为0.4m不足1m；第三条（九）企业风机风量小于10000m³/h，VOCs排放速率小于0.5kg/h，不满足安装条件，故未安装在线监测装置。</w:t>
      </w:r>
    </w:p>
    <w:tbl>
      <w:tblPr>
        <w:tblStyle w:val="14"/>
        <w:tblW w:w="4997"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1848"/>
        <w:gridCol w:w="2508"/>
        <w:gridCol w:w="1656"/>
        <w:gridCol w:w="161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4"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bookmarkStart w:id="0" w:name="_GoBack"/>
            <w:bookmarkEnd w:id="0"/>
            <w:r>
              <w:rPr>
                <w:rFonts w:hint="eastAsia"/>
                <w:lang w:val="en-US" w:eastAsia="zh-CN"/>
              </w:rPr>
              <w:t>排放口编号</w:t>
            </w:r>
          </w:p>
        </w:tc>
        <w:tc>
          <w:tcPr>
            <w:tcW w:w="1013"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排放口名称</w:t>
            </w:r>
          </w:p>
        </w:tc>
        <w:tc>
          <w:tcPr>
            <w:tcW w:w="1375"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污染物种类</w:t>
            </w:r>
          </w:p>
        </w:tc>
        <w:tc>
          <w:tcPr>
            <w:tcW w:w="908"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排气筒高度m</w:t>
            </w:r>
          </w:p>
        </w:tc>
        <w:tc>
          <w:tcPr>
            <w:tcW w:w="886"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排气筒内径m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4"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DA002</w:t>
            </w:r>
          </w:p>
        </w:tc>
        <w:tc>
          <w:tcPr>
            <w:tcW w:w="1013"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2#尾气排放口</w:t>
            </w:r>
          </w:p>
        </w:tc>
        <w:tc>
          <w:tcPr>
            <w:tcW w:w="1375"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氯化氢，挥发性有机物，酚类，颗粒物，氮氧化物，二氧化硫</w:t>
            </w:r>
          </w:p>
        </w:tc>
        <w:tc>
          <w:tcPr>
            <w:tcW w:w="908"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w:t>
            </w:r>
          </w:p>
        </w:tc>
        <w:tc>
          <w:tcPr>
            <w:tcW w:w="886"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4"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DA003</w:t>
            </w:r>
          </w:p>
        </w:tc>
        <w:tc>
          <w:tcPr>
            <w:tcW w:w="1013"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污水处理站废气排放口</w:t>
            </w:r>
          </w:p>
        </w:tc>
        <w:tc>
          <w:tcPr>
            <w:tcW w:w="1375"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臭气浓度，硫化氢，氨</w:t>
            </w:r>
          </w:p>
        </w:tc>
        <w:tc>
          <w:tcPr>
            <w:tcW w:w="908"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w:t>
            </w:r>
          </w:p>
        </w:tc>
        <w:tc>
          <w:tcPr>
            <w:tcW w:w="886" w:type="pct"/>
            <w:tcBorders>
              <w:tl2br w:val="nil"/>
              <w:tr2bl w:val="nil"/>
            </w:tcBorders>
            <w:noWrap w:val="0"/>
            <w:vAlign w:val="center"/>
          </w:tcPr>
          <w:p>
            <w:pPr>
              <w:pStyle w:val="1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0.2</w:t>
            </w:r>
          </w:p>
        </w:tc>
      </w:tr>
    </w:tbl>
    <w:p>
      <w:pPr>
        <w:ind w:firstLine="482"/>
        <w:outlineLvl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四、环境保护设施调试效果</w:t>
      </w:r>
    </w:p>
    <w:p>
      <w:pPr>
        <w:ind w:firstLine="480"/>
        <w:outlineLvl w:val="1"/>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污染物排放情况</w:t>
      </w:r>
    </w:p>
    <w:p>
      <w:pPr>
        <w:bidi w:val="0"/>
        <w:outlineLvl w:val="2"/>
        <w:rPr>
          <w:rFonts w:hint="default" w:ascii="Times New Roman" w:hAnsi="Times New Roman" w:cs="Times New Roman"/>
          <w:highlight w:val="none"/>
        </w:rPr>
      </w:pPr>
      <w:r>
        <w:rPr>
          <w:rFonts w:hint="default" w:ascii="Times New Roman" w:hAnsi="Times New Roman" w:cs="Times New Roman"/>
          <w:highlight w:val="none"/>
          <w:lang w:val="en-US" w:eastAsia="zh-CN"/>
        </w:rPr>
        <w:t>1、</w:t>
      </w:r>
      <w:r>
        <w:rPr>
          <w:rFonts w:hint="default" w:ascii="Times New Roman" w:hAnsi="Times New Roman" w:cs="Times New Roman"/>
          <w:highlight w:val="none"/>
        </w:rPr>
        <w:t>废水</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rPr>
      </w:pPr>
      <w:r>
        <w:rPr>
          <w:rFonts w:hint="default" w:eastAsia="宋体"/>
          <w:color w:val="auto"/>
        </w:rPr>
        <w:t>验收检测期间，厂区污水处理站出口废水排放浓度最大日均值：pH值8.6，色度6，浊度0.5，BOD5 7.6mg/L，化学需氧量19mg/L，铁＜0.3mg/L，锰：＜0.1mg/L，氯离子178mg/L，硫酸盐3.11mg/L，总硬度19mg/L，氨氮0.890mg/L，总磷0.14mg/L，溶解性总固体918mg/L，石油类＜0.06mg/L，阴性离子表面活性剂＜0.05mg/L，余氯2.48mg/L，粪大肠菌群445MPN/L。满足《城市污水再生利用工业用水水质》表1 工艺与产品用水标准。</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highlight w:val="none"/>
          <w:lang w:val="en-US" w:eastAsia="zh-CN"/>
        </w:rPr>
      </w:pPr>
      <w:r>
        <w:rPr>
          <w:rFonts w:hint="default" w:eastAsia="宋体"/>
          <w:color w:val="auto"/>
        </w:rPr>
        <w:t>厂区污水总排口废水排放浓度最大日均值：pH值7.6，色度10，悬浊物84mg/L，BOD5 72.7mg/L，化学需氧量230mg/L，氯化物393mg/L，硫酸盐21.6mg/L，氨氮1.28mg/L，总磷1.34mg/L，总氮2.81mg/L，溶解性总固体860mg/L，动植物油＜0.06mg/L，石油类＜0.06mg/L，阴性离子表面活性剂＜0.05mg/L，粪大肠菌群640MPN/L</w:t>
      </w:r>
      <w:r>
        <w:rPr>
          <w:rFonts w:hint="eastAsia" w:eastAsia="宋体"/>
          <w:color w:val="auto"/>
          <w:lang w:val="en-US" w:eastAsia="zh-CN"/>
        </w:rPr>
        <w:t>。</w:t>
      </w:r>
      <w:r>
        <w:rPr>
          <w:rFonts w:hint="default" w:eastAsia="宋体"/>
          <w:color w:val="auto"/>
        </w:rPr>
        <w:t>符合峄城化工产业园污水处理厂（山东丰源产业发展有限公司）污水接收标准（《污水排入城镇下水道水质标准（GB/T31962-2015）》</w:t>
      </w:r>
      <w:r>
        <w:rPr>
          <w:rFonts w:hint="eastAsia" w:eastAsia="宋体"/>
          <w:color w:val="auto"/>
          <w:lang w:val="en-US" w:eastAsia="zh-CN"/>
        </w:rPr>
        <w:t>A</w:t>
      </w:r>
      <w:r>
        <w:rPr>
          <w:rFonts w:hint="default" w:eastAsia="宋体"/>
          <w:color w:val="auto"/>
        </w:rPr>
        <w:t>级）</w:t>
      </w:r>
      <w:r>
        <w:rPr>
          <w:rFonts w:hint="default" w:ascii="Times New Roman" w:hAnsi="Times New Roman" w:cs="Times New Roman"/>
          <w:color w:val="auto"/>
          <w:highlight w:val="none"/>
          <w:lang w:eastAsia="zh-CN"/>
        </w:rPr>
        <w:t>。</w:t>
      </w:r>
    </w:p>
    <w:p>
      <w:pPr>
        <w:bidi w:val="0"/>
        <w:outlineLvl w:val="2"/>
        <w:rPr>
          <w:rFonts w:hint="default" w:ascii="Times New Roman" w:hAnsi="Times New Roman" w:cs="Times New Roman"/>
          <w:highlight w:val="none"/>
        </w:rPr>
      </w:pPr>
      <w:r>
        <w:rPr>
          <w:rFonts w:hint="default" w:ascii="Times New Roman" w:hAnsi="Times New Roman" w:cs="Times New Roman"/>
          <w:highlight w:val="none"/>
        </w:rPr>
        <w:t>2、废气</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有组织排放</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验收期间DA002排气筒VOCs（以非甲烷总烃计）最大排放速率为9.1×10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kg/h，最大排放浓度为3.88mg/m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，酚类化合物最大排放速率为1.8×10</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kg/h，最大排放浓度为0.69mg/m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，符合</w:t>
      </w:r>
      <w:r>
        <w:rPr>
          <w:rFonts w:hint="default" w:ascii="Times New Roman" w:hAnsi="Times New Roman" w:eastAsia="宋体" w:cs="Times New Roman"/>
          <w:color w:val="auto"/>
        </w:rPr>
        <w:t>《挥发性有机物排放标准第6部分：有机化工行业》（DB37/2801.6-2018</w:t>
      </w:r>
      <w:r>
        <w:rPr>
          <w:rFonts w:hint="eastAsia" w:ascii="Times New Roman" w:hAnsi="Times New Roman" w:eastAsia="宋体" w:cs="Times New Roman"/>
          <w:color w:val="auto"/>
          <w:lang w:val="en-US" w:eastAsia="zh-CN"/>
        </w:rPr>
        <w:t>排放标准</w:t>
      </w:r>
      <w:r>
        <w:rPr>
          <w:rFonts w:hint="eastAsia" w:cs="Times New Roman"/>
          <w:color w:val="auto"/>
          <w:lang w:val="en-US" w:eastAsia="zh-CN"/>
        </w:rPr>
        <w:t>）</w:t>
      </w:r>
      <w:r>
        <w:rPr>
          <w:rFonts w:hint="eastAsia" w:ascii="Times New Roman" w:hAnsi="Times New Roman" w:eastAsia="宋体" w:cs="Times New Roman"/>
          <w:color w:val="auto"/>
          <w:lang w:val="en-US" w:eastAsia="zh-CN"/>
        </w:rPr>
        <w:t>；颗粒物最大排放速率为</w:t>
      </w:r>
      <w:r>
        <w:rPr>
          <w:rFonts w:hint="eastAsia" w:cs="Times New Roman"/>
          <w:color w:val="auto"/>
          <w:lang w:val="en-US" w:eastAsia="zh-CN"/>
        </w:rPr>
        <w:t>1.0</w:t>
      </w:r>
      <w:r>
        <w:rPr>
          <w:rFonts w:hint="eastAsia" w:ascii="Times New Roman" w:hAnsi="Times New Roman" w:eastAsia="宋体" w:cs="Times New Roman"/>
          <w:color w:val="auto"/>
          <w:lang w:val="en-US" w:eastAsia="zh-CN"/>
        </w:rPr>
        <w:t>×10</w:t>
      </w:r>
      <w:r>
        <w:rPr>
          <w:rFonts w:hint="eastAsia" w:ascii="Times New Roman" w:hAnsi="Times New Roman" w:eastAsia="宋体" w:cs="Times New Roman"/>
          <w:color w:val="auto"/>
          <w:vertAlign w:val="superscript"/>
          <w:lang w:val="en-US" w:eastAsia="zh-CN"/>
        </w:rPr>
        <w:t>-</w:t>
      </w:r>
      <w:r>
        <w:rPr>
          <w:rFonts w:hint="eastAsia" w:cs="Times New Roman"/>
          <w:color w:val="auto"/>
          <w:vertAlign w:val="superscript"/>
          <w:lang w:val="en-US" w:eastAsia="zh-CN"/>
        </w:rPr>
        <w:t>2</w:t>
      </w:r>
      <w:r>
        <w:rPr>
          <w:rFonts w:hint="eastAsia" w:ascii="Times New Roman" w:hAnsi="Times New Roman" w:eastAsia="宋体" w:cs="Times New Roman"/>
          <w:color w:val="auto"/>
          <w:lang w:val="en-US" w:eastAsia="zh-CN"/>
        </w:rPr>
        <w:t>kg/h，最大排放浓度为4.5mg/m3，二氧化硫最大排放速率为3.8×10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kg/h，最大排放浓度为＜3mg/m3，氮氧化物最大排放速率为3.8×10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kg/h，最大排放浓度为＜3mg/m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，满足《区域性大气污染物综合排放标准》（DB37/2376-2019）重点控制区要求；氯化氢最大排放速率为3.0×10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kg/h，最大排放浓度为1.2mg/m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，符合《石油化学工业污染物排放标准》（GB 31571-2015）标准。验收期间DA003排气筒，硫化氢最大排放速率为5.3×10</w:t>
      </w:r>
      <w:r>
        <w:rPr>
          <w:rFonts w:hint="eastAsia" w:ascii="Times New Roman" w:hAnsi="Times New Roman" w:eastAsia="宋体" w:cs="Times New Roman"/>
          <w:color w:val="auto"/>
          <w:vertAlign w:val="superscript"/>
          <w:lang w:val="en-US" w:eastAsia="zh-CN"/>
        </w:rPr>
        <w:t>-5</w:t>
      </w:r>
      <w:r>
        <w:rPr>
          <w:rFonts w:hint="eastAsia" w:ascii="Times New Roman" w:hAnsi="Times New Roman" w:eastAsia="宋体" w:cs="Times New Roman"/>
          <w:color w:val="auto"/>
          <w:lang w:val="en-US" w:eastAsia="zh-CN"/>
        </w:rPr>
        <w:t>kg/h，最大排放浓度为0.08mg/m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，氨最大排放速率为6.3×10</w:t>
      </w:r>
      <w:r>
        <w:rPr>
          <w:rFonts w:hint="eastAsia" w:ascii="Times New Roman" w:hAnsi="Times New Roman" w:eastAsia="宋体" w:cs="Times New Roman"/>
          <w:color w:val="auto"/>
          <w:vertAlign w:val="superscript"/>
          <w:lang w:val="en-US" w:eastAsia="zh-CN"/>
        </w:rPr>
        <w:t>-4</w:t>
      </w:r>
      <w:r>
        <w:rPr>
          <w:rFonts w:hint="eastAsia" w:ascii="Times New Roman" w:hAnsi="Times New Roman" w:eastAsia="宋体" w:cs="Times New Roman"/>
          <w:color w:val="auto"/>
          <w:lang w:val="en-US" w:eastAsia="zh-CN"/>
        </w:rPr>
        <w:t>kg/h，最大排放浓度为0.96mg/m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，臭气浓度最大排放浓度478，符合</w:t>
      </w:r>
      <w:r>
        <w:rPr>
          <w:rFonts w:hint="eastAsia" w:ascii="Times New Roman" w:hAnsi="Times New Roman" w:eastAsia="宋体" w:cs="Times New Roman"/>
          <w:color w:val="auto"/>
        </w:rPr>
        <w:t>《有机化工企业污水处理厂（站）挥发性有机物及恶臭污染物排放标准》</w:t>
      </w:r>
      <w:r>
        <w:rPr>
          <w:rFonts w:hint="eastAsia" w:ascii="Times New Roman" w:hAnsi="Times New Roman" w:eastAsia="宋体" w:cs="Times New Roman"/>
          <w:color w:val="auto"/>
          <w:lang w:eastAsia="en-US"/>
        </w:rPr>
        <w:t>（DB37T 3161-2018 ）</w:t>
      </w:r>
      <w:r>
        <w:rPr>
          <w:rFonts w:hint="eastAsia" w:cs="Times New Roman"/>
          <w:color w:val="auto"/>
          <w:lang w:eastAsia="zh-CN"/>
        </w:rPr>
        <w:t>。</w:t>
      </w:r>
    </w:p>
    <w:p>
      <w:pPr>
        <w:keepNext w:val="0"/>
        <w:keepLines w:val="0"/>
        <w:pageBreakBefore w:val="0"/>
        <w:widowControl w:val="0"/>
        <w:numPr>
          <w:ilvl w:val="0"/>
          <w:numId w:val="5"/>
        </w:numPr>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无组织排放</w:t>
      </w:r>
    </w:p>
    <w:p>
      <w:pPr>
        <w:bidi w:val="0"/>
        <w:spacing w:line="36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highlight w:val="none"/>
          <w:lang w:val="en-US" w:eastAsia="zh-CN"/>
        </w:rPr>
        <w:t>验收监测期间，</w:t>
      </w:r>
      <w:r>
        <w:rPr>
          <w:rFonts w:hint="eastAsia" w:ascii="Times New Roman" w:hAnsi="Times New Roman" w:eastAsia="宋体" w:cs="Times New Roman"/>
          <w:color w:val="auto"/>
          <w:highlight w:val="none"/>
          <w:lang w:val="en-US" w:eastAsia="zh-CN"/>
        </w:rPr>
        <w:t>无组织颗粒物最大排放浓度为325</w:t>
      </w:r>
      <w:r>
        <w:rPr>
          <w:rFonts w:hint="default" w:ascii="Times New Roman" w:hAnsi="Times New Roman" w:eastAsia="宋体" w:cs="Times New Roman"/>
          <w:color w:val="auto"/>
          <w:highlight w:val="none"/>
          <w:lang w:val="en-US" w:eastAsia="zh-CN"/>
        </w:rPr>
        <w:t>µg/m³</w:t>
      </w:r>
      <w:r>
        <w:rPr>
          <w:rFonts w:hint="eastAsia" w:ascii="Times New Roman" w:hAnsi="Times New Roman" w:eastAsia="宋体" w:cs="Times New Roman"/>
          <w:color w:val="auto"/>
          <w:highlight w:val="none"/>
          <w:lang w:val="en-US" w:eastAsia="zh-CN"/>
        </w:rPr>
        <w:t>，符合《大气污染物综合排放标准》（GB16297-1996）无组织排放标准</w:t>
      </w:r>
      <w:r>
        <w:rPr>
          <w:rFonts w:hint="eastAsia" w:ascii="Times New Roman" w:hAns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无组织氯化氢最大排放浓度0.14</w:t>
      </w:r>
      <w:r>
        <w:rPr>
          <w:rFonts w:hint="default" w:ascii="Times New Roman" w:hAnsi="Times New Roman" w:eastAsia="宋体" w:cs="Times New Roman"/>
          <w:color w:val="auto"/>
          <w:highlight w:val="none"/>
          <w:lang w:val="en-US" w:eastAsia="zh-CN"/>
        </w:rPr>
        <w:t>mg/m³</w:t>
      </w:r>
      <w:r>
        <w:rPr>
          <w:rFonts w:hint="eastAsia" w:ascii="Times New Roman" w:hAnsi="Times New Roman" w:eastAsia="宋体" w:cs="Times New Roman"/>
          <w:color w:val="auto"/>
          <w:highlight w:val="none"/>
          <w:lang w:val="en-US" w:eastAsia="zh-CN"/>
        </w:rPr>
        <w:t>，符合《石油化学工业污染物排放标准》（GB 31571-2015）无组织排放标准，VOCs（以非甲烷总烃计）最大排放浓度为</w:t>
      </w:r>
      <w:r>
        <w:rPr>
          <w:rFonts w:hint="eastAsia" w:eastAsia="宋体" w:cs="Times New Roman"/>
          <w:color w:val="auto"/>
          <w:highlight w:val="none"/>
          <w:lang w:val="en-US" w:eastAsia="zh-CN"/>
        </w:rPr>
        <w:t>1.56</w:t>
      </w:r>
      <w:r>
        <w:rPr>
          <w:rFonts w:hint="default" w:ascii="Times New Roman" w:hAnsi="Times New Roman" w:eastAsia="宋体" w:cs="Times New Roman"/>
          <w:color w:val="auto"/>
          <w:highlight w:val="none"/>
          <w:lang w:val="en-US" w:eastAsia="zh-CN"/>
        </w:rPr>
        <w:t>mg/m³</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无组织排放厂界VOCs浓度</w:t>
      </w:r>
      <w:r>
        <w:rPr>
          <w:rFonts w:hint="eastAsia" w:ascii="Times New Roman" w:hAnsi="Times New Roman" w:eastAsia="宋体" w:cs="Times New Roman"/>
          <w:color w:val="auto"/>
          <w:highlight w:val="none"/>
          <w:lang w:val="en-US" w:eastAsia="zh-CN"/>
        </w:rPr>
        <w:t>符合</w:t>
      </w:r>
      <w:r>
        <w:rPr>
          <w:rFonts w:hint="default" w:ascii="Times New Roman" w:hAnsi="Times New Roman" w:eastAsia="宋体" w:cs="Times New Roman"/>
          <w:color w:val="auto"/>
          <w:highlight w:val="none"/>
          <w:lang w:val="en-US" w:eastAsia="zh-CN"/>
        </w:rPr>
        <w:t>《挥发性有机物排放标准第6部分：有机化工行业》（DB37/2801.6-2018）；</w:t>
      </w:r>
      <w:r>
        <w:rPr>
          <w:rFonts w:hint="eastAsia" w:eastAsia="宋体" w:cs="Times New Roman"/>
          <w:color w:val="auto"/>
          <w:highlight w:val="none"/>
          <w:lang w:val="en-US" w:eastAsia="zh-CN"/>
        </w:rPr>
        <w:t>无组织酚类最大排放浓度＜0.03</w:t>
      </w:r>
      <w:r>
        <w:rPr>
          <w:rFonts w:hint="default" w:ascii="Times New Roman" w:hAnsi="Times New Roman" w:eastAsia="宋体" w:cs="Times New Roman"/>
          <w:color w:val="auto"/>
          <w:highlight w:val="none"/>
          <w:lang w:val="en-US" w:eastAsia="zh-CN"/>
        </w:rPr>
        <w:t>mg/m³</w:t>
      </w:r>
      <w:r>
        <w:rPr>
          <w:rFonts w:hint="eastAsia"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符合《大气污染物综合排放标准》（GB16297-1996）无组织排放标准</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无组织硫化氢最大排放浓度0.017</w:t>
      </w:r>
      <w:r>
        <w:rPr>
          <w:rFonts w:hint="default" w:ascii="Times New Roman" w:hAnsi="Times New Roman" w:eastAsia="宋体" w:cs="Times New Roman"/>
          <w:color w:val="auto"/>
          <w:highlight w:val="none"/>
          <w:lang w:val="en-US" w:eastAsia="zh-CN"/>
        </w:rPr>
        <w:t>mg/m³</w:t>
      </w:r>
      <w:r>
        <w:rPr>
          <w:rFonts w:hint="eastAsia" w:eastAsia="宋体" w:cs="Times New Roman"/>
          <w:color w:val="auto"/>
          <w:highlight w:val="none"/>
          <w:lang w:val="en-US" w:eastAsia="zh-CN"/>
        </w:rPr>
        <w:t>，无组织氨最大排放浓度0.2</w:t>
      </w:r>
      <w:r>
        <w:rPr>
          <w:rFonts w:hint="default" w:ascii="Times New Roman" w:hAnsi="Times New Roman" w:eastAsia="宋体" w:cs="Times New Roman"/>
          <w:color w:val="auto"/>
          <w:highlight w:val="none"/>
          <w:lang w:val="en-US" w:eastAsia="zh-CN"/>
        </w:rPr>
        <w:t>mg/m³</w:t>
      </w:r>
      <w:r>
        <w:rPr>
          <w:rFonts w:hint="eastAsia" w:eastAsia="宋体" w:cs="Times New Roman"/>
          <w:color w:val="auto"/>
          <w:highlight w:val="none"/>
          <w:lang w:val="en-US" w:eastAsia="zh-CN"/>
        </w:rPr>
        <w:t>，无组织</w:t>
      </w:r>
      <w:r>
        <w:rPr>
          <w:rFonts w:hint="eastAsia" w:cs="Times New Roman"/>
          <w:color w:val="auto"/>
          <w:highlight w:val="none"/>
          <w:lang w:val="en-US" w:eastAsia="zh-CN"/>
        </w:rPr>
        <w:t>臭气浓度</w:t>
      </w:r>
      <w:r>
        <w:rPr>
          <w:rFonts w:hint="eastAsia" w:eastAsia="宋体" w:cs="Times New Roman"/>
          <w:color w:val="auto"/>
          <w:highlight w:val="none"/>
          <w:lang w:val="en-US" w:eastAsia="zh-CN"/>
        </w:rPr>
        <w:t>最大排放浓度13，符合</w:t>
      </w:r>
      <w:r>
        <w:rPr>
          <w:rFonts w:hint="eastAsia"/>
          <w:lang w:val="en-US" w:eastAsia="zh-CN"/>
        </w:rPr>
        <w:t>《恶臭污染物排放标准》（GB14554-93）表1中二级新改扩建标准限值</w:t>
      </w:r>
      <w:r>
        <w:rPr>
          <w:rFonts w:hint="default" w:ascii="Times New Roman" w:hAnsi="Times New Roman" w:cs="Times New Roman"/>
          <w:color w:val="auto"/>
          <w:highlight w:val="none"/>
        </w:rPr>
        <w:t>。</w:t>
      </w:r>
    </w:p>
    <w:p>
      <w:pPr>
        <w:bidi w:val="0"/>
        <w:outlineLvl w:val="2"/>
        <w:rPr>
          <w:rFonts w:hint="default" w:ascii="Times New Roman" w:hAnsi="Times New Roman" w:cs="Times New Roman"/>
          <w:highlight w:val="none"/>
        </w:rPr>
      </w:pPr>
      <w:r>
        <w:rPr>
          <w:rFonts w:hint="default" w:ascii="Times New Roman" w:hAnsi="Times New Roman" w:cs="Times New Roman"/>
          <w:highlight w:val="none"/>
        </w:rPr>
        <w:t>3、噪声</w:t>
      </w:r>
    </w:p>
    <w:p>
      <w:pPr>
        <w:bidi w:val="0"/>
        <w:rPr>
          <w:rFonts w:hint="default" w:ascii="Times New Roman" w:hAnsi="Times New Roman" w:cs="Times New Roman"/>
          <w:highlight w:val="none"/>
        </w:rPr>
      </w:pPr>
      <w:r>
        <w:rPr>
          <w:rFonts w:hint="eastAsia" w:cs="Times New Roman"/>
          <w:color w:val="auto"/>
          <w:highlight w:val="none"/>
          <w:lang w:val="en-US" w:eastAsia="zh-CN"/>
        </w:rPr>
        <w:t>一期工程现状环评厂界昼间噪声为53.2~58.5分贝，</w:t>
      </w:r>
      <w:r>
        <w:rPr>
          <w:rFonts w:hint="default" w:ascii="Times New Roman" w:hAnsi="Times New Roman" w:eastAsia="宋体" w:cs="Times New Roman"/>
          <w:color w:val="auto"/>
          <w:highlight w:val="none"/>
          <w:lang w:val="en-US" w:eastAsia="zh-CN"/>
        </w:rPr>
        <w:t>厂界夜间噪声</w:t>
      </w:r>
      <w:r>
        <w:rPr>
          <w:rFonts w:hint="eastAsia" w:cs="Times New Roman"/>
          <w:color w:val="auto"/>
          <w:highlight w:val="none"/>
          <w:lang w:val="en-US" w:eastAsia="zh-CN"/>
        </w:rPr>
        <w:t>为48.8~53.3分贝，</w:t>
      </w:r>
      <w:r>
        <w:rPr>
          <w:rFonts w:hint="default" w:ascii="Times New Roman" w:hAnsi="Times New Roman" w:eastAsia="宋体" w:cs="Times New Roman"/>
          <w:color w:val="auto"/>
          <w:highlight w:val="none"/>
          <w:lang w:val="en-US" w:eastAsia="zh-CN"/>
        </w:rPr>
        <w:t>验收监测期间，厂界昼间噪声</w:t>
      </w:r>
      <w:r>
        <w:rPr>
          <w:rFonts w:hint="eastAsia" w:cs="Times New Roman"/>
          <w:color w:val="auto"/>
          <w:highlight w:val="none"/>
          <w:lang w:val="en-US" w:eastAsia="zh-CN"/>
        </w:rPr>
        <w:t>为52.9~</w:t>
      </w:r>
      <w:r>
        <w:rPr>
          <w:rFonts w:hint="eastAsia" w:eastAsia="宋体" w:cs="Times New Roman"/>
          <w:color w:val="auto"/>
          <w:highlight w:val="none"/>
          <w:lang w:val="en-US" w:eastAsia="zh-CN"/>
        </w:rPr>
        <w:t>58.5</w:t>
      </w:r>
      <w:r>
        <w:rPr>
          <w:rFonts w:hint="default" w:ascii="Times New Roman" w:hAnsi="Times New Roman" w:eastAsia="宋体" w:cs="Times New Roman"/>
          <w:color w:val="auto"/>
          <w:highlight w:val="none"/>
          <w:lang w:val="en-US" w:eastAsia="zh-CN"/>
        </w:rPr>
        <w:t>分贝，厂界夜间噪声</w:t>
      </w:r>
      <w:r>
        <w:rPr>
          <w:rFonts w:hint="eastAsia" w:cs="Times New Roman"/>
          <w:color w:val="auto"/>
          <w:highlight w:val="none"/>
          <w:lang w:val="en-US" w:eastAsia="zh-CN"/>
        </w:rPr>
        <w:t>为48.5~5</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分贝，厂界</w:t>
      </w:r>
      <w:r>
        <w:rPr>
          <w:rFonts w:hint="eastAsia" w:eastAsia="宋体" w:cs="Times New Roman"/>
          <w:color w:val="auto"/>
          <w:highlight w:val="none"/>
          <w:lang w:val="en-US" w:eastAsia="zh-CN"/>
        </w:rPr>
        <w:t>噪声</w:t>
      </w:r>
      <w:r>
        <w:rPr>
          <w:rFonts w:hint="default" w:ascii="Times New Roman" w:hAnsi="Times New Roman" w:eastAsia="宋体" w:cs="Times New Roman"/>
          <w:color w:val="auto"/>
          <w:highlight w:val="none"/>
          <w:lang w:val="en-US" w:eastAsia="zh-CN"/>
        </w:rPr>
        <w:t>符合《工业企业厂界环境噪声排放标准》（GB12348-2008）3类标准要求</w:t>
      </w:r>
      <w:r>
        <w:rPr>
          <w:rFonts w:hint="default" w:ascii="Times New Roman" w:hAnsi="Times New Roman" w:cs="Times New Roman"/>
          <w:highlight w:val="none"/>
        </w:rPr>
        <w:t>。</w:t>
      </w:r>
    </w:p>
    <w:p>
      <w:pPr>
        <w:bidi w:val="0"/>
        <w:outlineLvl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4、固体废物</w:t>
      </w:r>
    </w:p>
    <w:p>
      <w:pPr>
        <w:ind w:firstLine="480"/>
        <w:rPr>
          <w:rFonts w:hint="default" w:ascii="Times New Roman" w:hAnsi="Times New Roman" w:cs="Times New Roman"/>
          <w:color w:val="auto"/>
          <w:spacing w:val="-4"/>
          <w:kern w:val="2"/>
          <w:sz w:val="24"/>
          <w:szCs w:val="22"/>
          <w:highlight w:val="none"/>
          <w:lang w:val="en-US" w:eastAsia="zh-CN" w:bidi="ar-SA"/>
        </w:rPr>
      </w:pPr>
      <w:r>
        <w:rPr>
          <w:rFonts w:hint="default" w:ascii="Times New Roman" w:hAnsi="Times New Roman" w:eastAsia="宋体" w:cs="Times New Roman"/>
          <w:color w:val="auto"/>
          <w:lang w:val="en-US" w:eastAsia="zh-CN"/>
        </w:rPr>
        <w:t>危险废物严格按照相关要求收集、贮存、运输，委托有运输资质的运输公司承担运输，按照标准建设了危废暂存库，张贴危废暂存间标识、设置危废进出库管理台账、不同危废分区存放，并设置导流沟，危废管理制度、危废废物处置流程、危废处置流程责任人上墙。固体废物均得到合理处置，不外排</w:t>
      </w:r>
      <w:r>
        <w:rPr>
          <w:rFonts w:hint="default" w:ascii="Times New Roman" w:hAnsi="Times New Roman" w:cs="Times New Roman"/>
          <w:color w:val="auto"/>
          <w:spacing w:val="-4"/>
          <w:kern w:val="2"/>
          <w:sz w:val="24"/>
          <w:szCs w:val="22"/>
          <w:highlight w:val="none"/>
          <w:lang w:val="en-US" w:eastAsia="zh-CN" w:bidi="ar-SA"/>
        </w:rPr>
        <w:t>。</w:t>
      </w:r>
    </w:p>
    <w:p>
      <w:pPr>
        <w:ind w:firstLine="480"/>
        <w:outlineLvl w:val="2"/>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5</w:t>
      </w:r>
      <w:r>
        <w:rPr>
          <w:rFonts w:hint="default" w:ascii="Times New Roman" w:hAnsi="Times New Roman" w:cs="Times New Roman"/>
          <w:color w:val="auto"/>
          <w:kern w:val="0"/>
          <w:highlight w:val="none"/>
        </w:rPr>
        <w:t>、总量核算</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根据验收监测期间</w:t>
      </w:r>
      <w:r>
        <w:rPr>
          <w:rFonts w:hint="eastAsia" w:ascii="Times New Roman" w:hAnsi="Times New Roman" w:eastAsia="宋体" w:cs="Times New Roman"/>
          <w:color w:val="auto"/>
          <w:lang w:val="en-US" w:eastAsia="zh-CN"/>
        </w:rPr>
        <w:t>，污水处理设施废水排放数据，核算废水化学需氧量平均排放总量为</w:t>
      </w:r>
      <w:r>
        <w:rPr>
          <w:rFonts w:hint="eastAsia" w:ascii="Times New Roman" w:hAnsi="Times New Roman" w:eastAsia="宋体" w:cs="Times New Roman"/>
          <w:color w:val="auto"/>
          <w:highlight w:val="none"/>
          <w:lang w:val="en-US" w:eastAsia="zh-CN"/>
        </w:rPr>
        <w:t>0.1</w:t>
      </w:r>
      <w:r>
        <w:rPr>
          <w:rFonts w:hint="eastAsia" w:cs="Times New Roman"/>
          <w:color w:val="auto"/>
          <w:highlight w:val="none"/>
          <w:lang w:val="en-US" w:eastAsia="zh-CN"/>
        </w:rPr>
        <w:t>69</w:t>
      </w:r>
      <w:r>
        <w:rPr>
          <w:rFonts w:hint="eastAsia" w:ascii="Times New Roman" w:hAnsi="Times New Roman" w:eastAsia="宋体" w:cs="Times New Roman"/>
          <w:color w:val="auto"/>
          <w:highlight w:val="none"/>
          <w:lang w:val="en-US" w:eastAsia="zh-CN"/>
        </w:rPr>
        <w:t>t</w:t>
      </w:r>
      <w:r>
        <w:rPr>
          <w:rFonts w:hint="eastAsia" w:ascii="Times New Roman" w:hAnsi="Times New Roman" w:eastAsia="宋体" w:cs="Times New Roman"/>
          <w:color w:val="auto"/>
          <w:lang w:val="en-US" w:eastAsia="zh-CN"/>
        </w:rPr>
        <w:t>/a，氨氮平均排放总量为0.00</w:t>
      </w:r>
      <w:r>
        <w:rPr>
          <w:rFonts w:hint="eastAsia" w:cs="Times New Roman"/>
          <w:color w:val="auto"/>
          <w:lang w:val="en-US" w:eastAsia="zh-CN"/>
        </w:rPr>
        <w:t>4</w:t>
      </w:r>
      <w:r>
        <w:rPr>
          <w:rFonts w:hint="eastAsia" w:ascii="Times New Roman" w:hAnsi="Times New Roman" w:eastAsia="宋体" w:cs="Times New Roman"/>
          <w:color w:val="auto"/>
          <w:lang w:val="en-US" w:eastAsia="zh-CN"/>
        </w:rPr>
        <w:t>t/a，低于环评批复化学需氧量0.4t/a、氨氮0.04t/a</w:t>
      </w:r>
      <w:r>
        <w:rPr>
          <w:rFonts w:hint="eastAsia"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FF"/>
          <w:highlight w:val="none"/>
        </w:rPr>
      </w:pPr>
      <w:r>
        <w:rPr>
          <w:rFonts w:hint="default" w:ascii="Times New Roman" w:hAnsi="Times New Roman" w:eastAsia="宋体" w:cs="Times New Roman"/>
          <w:color w:val="auto"/>
          <w:highlight w:val="none"/>
          <w:lang w:val="en-US" w:eastAsia="zh-CN"/>
        </w:rPr>
        <w:t>根据验收监测期间废气处理设施排气筒废气检测数据，核算有组织废气VOCs</w:t>
      </w:r>
      <w:r>
        <w:rPr>
          <w:rFonts w:hint="eastAsia" w:ascii="Times New Roman" w:hAnsi="Times New Roman" w:eastAsia="宋体" w:cs="Times New Roman"/>
          <w:color w:val="auto"/>
          <w:highlight w:val="none"/>
          <w:lang w:val="en-US" w:eastAsia="zh-CN"/>
        </w:rPr>
        <w:t>（以非甲烷总烃计）</w:t>
      </w:r>
      <w:r>
        <w:rPr>
          <w:rFonts w:hint="default" w:ascii="Times New Roman" w:hAnsi="Times New Roman" w:eastAsia="宋体" w:cs="Times New Roman"/>
          <w:color w:val="auto"/>
          <w:highlight w:val="none"/>
          <w:lang w:val="en-US" w:eastAsia="zh-CN"/>
        </w:rPr>
        <w:t>排放</w:t>
      </w:r>
      <w:r>
        <w:rPr>
          <w:rFonts w:hint="eastAsia" w:ascii="Times New Roman" w:hAnsi="Times New Roman" w:eastAsia="宋体" w:cs="Times New Roman"/>
          <w:color w:val="auto"/>
          <w:highlight w:val="none"/>
          <w:lang w:val="en-US" w:eastAsia="zh-CN"/>
        </w:rPr>
        <w:t>平均</w:t>
      </w:r>
      <w:r>
        <w:rPr>
          <w:rFonts w:hint="default" w:ascii="Times New Roman" w:hAnsi="Times New Roman" w:eastAsia="宋体" w:cs="Times New Roman"/>
          <w:color w:val="auto"/>
          <w:highlight w:val="none"/>
          <w:lang w:val="en-US" w:eastAsia="zh-CN"/>
        </w:rPr>
        <w:t>总量为</w:t>
      </w:r>
      <w:r>
        <w:rPr>
          <w:rFonts w:hint="eastAsia" w:cs="Times New Roman"/>
          <w:color w:val="auto"/>
          <w:highlight w:val="none"/>
          <w:lang w:val="en-US" w:eastAsia="zh-CN"/>
        </w:rPr>
        <w:t>0.0722</w:t>
      </w:r>
      <w:r>
        <w:rPr>
          <w:rFonts w:hint="eastAsia"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lang w:val="en-US" w:eastAsia="zh-CN"/>
        </w:rPr>
        <w:t>，低于环评</w:t>
      </w:r>
      <w:r>
        <w:rPr>
          <w:rFonts w:hint="eastAsia" w:cs="Times New Roman"/>
          <w:color w:val="auto"/>
          <w:highlight w:val="none"/>
          <w:lang w:val="en-US" w:eastAsia="zh-CN"/>
        </w:rPr>
        <w:t>批复</w:t>
      </w:r>
      <w:r>
        <w:rPr>
          <w:rFonts w:hint="default" w:ascii="Times New Roman" w:hAnsi="Times New Roman" w:eastAsia="宋体" w:cs="Times New Roman"/>
          <w:color w:val="auto"/>
          <w:highlight w:val="none"/>
          <w:lang w:val="en-US" w:eastAsia="zh-CN"/>
        </w:rPr>
        <w:t>总量</w:t>
      </w:r>
      <w:r>
        <w:rPr>
          <w:rFonts w:hint="eastAsia" w:ascii="Times New Roman" w:hAnsi="Times New Roman" w:eastAsia="宋体" w:cs="Times New Roman"/>
          <w:color w:val="auto"/>
          <w:highlight w:val="none"/>
          <w:lang w:val="en-US" w:eastAsia="zh-CN"/>
        </w:rPr>
        <w:t>0.088t/a</w:t>
      </w:r>
      <w:r>
        <w:rPr>
          <w:rFonts w:hint="eastAsia" w:cs="Times New Roman"/>
          <w:color w:val="auto"/>
          <w:lang w:val="en-US" w:eastAsia="zh-CN"/>
        </w:rPr>
        <w:t>。</w:t>
      </w:r>
    </w:p>
    <w:p>
      <w:pPr>
        <w:numPr>
          <w:ilvl w:val="0"/>
          <w:numId w:val="0"/>
        </w:numPr>
        <w:ind w:firstLine="480" w:firstLineChars="200"/>
        <w:outlineLvl w:val="2"/>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sz w:val="24"/>
          <w:szCs w:val="24"/>
          <w:lang w:val="en-US" w:eastAsia="zh-CN" w:bidi="ar-SA"/>
        </w:rPr>
        <w:t>6、</w:t>
      </w:r>
      <w:r>
        <w:rPr>
          <w:rFonts w:hint="default" w:ascii="Times New Roman" w:hAnsi="Times New Roman" w:eastAsia="宋体" w:cs="Times New Roman"/>
          <w:color w:val="auto"/>
          <w:kern w:val="0"/>
          <w:highlight w:val="none"/>
          <w:lang w:val="en-US" w:eastAsia="zh-CN"/>
        </w:rPr>
        <w:t>地下水</w:t>
      </w:r>
    </w:p>
    <w:p>
      <w:pPr>
        <w:bidi w:val="0"/>
        <w:rPr>
          <w:rFonts w:hint="default" w:ascii="Times New Roman" w:hAnsi="Times New Roman" w:cs="Times New Roman"/>
          <w:color w:val="000000"/>
          <w:kern w:val="0"/>
          <w:szCs w:val="24"/>
          <w:highlight w:val="none"/>
        </w:rPr>
      </w:pPr>
      <w:r>
        <w:rPr>
          <w:rFonts w:hint="eastAsia" w:cs="Times New Roman"/>
          <w:color w:val="auto"/>
          <w:highlight w:val="none"/>
          <w:lang w:val="en-US" w:eastAsia="zh-CN"/>
        </w:rPr>
        <w:t>山东瑞兴阻燃科技有限公司所监测的</w:t>
      </w:r>
      <w:r>
        <w:rPr>
          <w:rFonts w:hint="eastAsia" w:ascii="Times New Roman" w:hAnsi="Times New Roman" w:eastAsia="宋体" w:cs="Times New Roman"/>
          <w:color w:val="auto"/>
          <w:highlight w:val="none"/>
          <w:lang w:val="en-US" w:eastAsia="zh-CN"/>
        </w:rPr>
        <w:t>三个地下水监测井，除溶解性总固体外，其他监测数据</w:t>
      </w:r>
      <w:r>
        <w:rPr>
          <w:rFonts w:hint="default" w:ascii="Times New Roman" w:hAnsi="Times New Roman" w:eastAsia="宋体" w:cs="Times New Roman"/>
          <w:color w:val="auto"/>
          <w:highlight w:val="none"/>
        </w:rPr>
        <w:t>符合《地下水质量标准》</w:t>
      </w:r>
      <w:r>
        <w:rPr>
          <w:rFonts w:hint="eastAsia" w:cs="Times New Roman"/>
          <w:color w:val="auto"/>
          <w:highlight w:val="none"/>
          <w:lang w:eastAsia="zh-CN"/>
        </w:rPr>
        <w:t>（</w:t>
      </w:r>
      <w:r>
        <w:rPr>
          <w:rFonts w:hint="default" w:ascii="Times New Roman" w:hAnsi="Times New Roman" w:eastAsia="宋体" w:cs="Times New Roman"/>
          <w:color w:val="auto"/>
          <w:highlight w:val="none"/>
        </w:rPr>
        <w:t>GB/T14848-2017</w:t>
      </w:r>
      <w:r>
        <w:rPr>
          <w:rFonts w:hint="eastAsia" w:cs="Times New Roman"/>
          <w:color w:val="auto"/>
          <w:highlight w:val="none"/>
          <w:lang w:eastAsia="zh-CN"/>
        </w:rPr>
        <w:t>）</w:t>
      </w:r>
      <w:r>
        <w:rPr>
          <w:rFonts w:hint="default" w:ascii="Times New Roman" w:hAnsi="Times New Roman" w:eastAsia="宋体" w:cs="Times New Roman"/>
          <w:color w:val="auto"/>
          <w:highlight w:val="none"/>
        </w:rPr>
        <w:t>Ⅲ类标准。</w:t>
      </w:r>
      <w:r>
        <w:rPr>
          <w:rFonts w:hint="default" w:ascii="Times New Roman" w:hAnsi="Times New Roman" w:eastAsia="宋体" w:cs="Times New Roman"/>
          <w:color w:val="auto"/>
          <w:highlight w:val="none"/>
          <w:lang w:eastAsia="zh-CN"/>
        </w:rPr>
        <w:t>结合枣庄地区水文地质条件及环评现状检测结果，</w:t>
      </w:r>
      <w:r>
        <w:rPr>
          <w:rFonts w:hint="default" w:ascii="Times New Roman" w:hAnsi="Times New Roman" w:eastAsia="宋体" w:cs="Times New Roman"/>
          <w:color w:val="auto"/>
          <w:highlight w:val="none"/>
        </w:rPr>
        <w:t>溶解性总固体超标的主要因素为地质原因</w:t>
      </w:r>
      <w:r>
        <w:rPr>
          <w:rFonts w:hint="default" w:ascii="Times New Roman" w:hAnsi="Times New Roman" w:cs="Times New Roman"/>
          <w:color w:val="000000"/>
          <w:kern w:val="0"/>
          <w:szCs w:val="24"/>
          <w:highlight w:val="none"/>
        </w:rPr>
        <w:t>。</w:t>
      </w:r>
    </w:p>
    <w:p>
      <w:pPr>
        <w:bidi w:val="0"/>
        <w:outlineLvl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7、土壤</w:t>
      </w:r>
    </w:p>
    <w:p>
      <w:pPr>
        <w:bidi w:val="0"/>
        <w:rPr>
          <w:rFonts w:hint="eastAsia" w:eastAsia="宋体" w:cs="Times New Roman"/>
          <w:color w:val="auto"/>
          <w:kern w:val="0"/>
          <w:sz w:val="24"/>
          <w:szCs w:val="24"/>
          <w:highlight w:val="none"/>
          <w:lang w:eastAsia="zh-CN"/>
        </w:rPr>
      </w:pPr>
      <w:r>
        <w:rPr>
          <w:rFonts w:hint="default" w:ascii="Times New Roman" w:hAnsi="Times New Roman" w:eastAsia="宋体" w:cs="Times New Roman"/>
          <w:color w:val="auto"/>
          <w:lang w:val="en-US" w:eastAsia="zh-CN"/>
        </w:rPr>
        <w:t>验收检测期间，厂区内三个土壤采样点检测结果均符合《土壤环境质量建设用地土壤污染风险管控标准（试行）》（GB36600-2018）第二类用地筛选值标准要求</w:t>
      </w:r>
      <w:r>
        <w:rPr>
          <w:rFonts w:hint="eastAsia" w:eastAsia="宋体" w:cs="Times New Roman"/>
          <w:color w:val="auto"/>
          <w:kern w:val="0"/>
          <w:sz w:val="24"/>
          <w:szCs w:val="24"/>
          <w:highlight w:val="none"/>
          <w:lang w:eastAsia="zh-CN"/>
        </w:rPr>
        <w:t>。</w:t>
      </w:r>
    </w:p>
    <w:p>
      <w:pPr>
        <w:pStyle w:val="3"/>
        <w:numPr>
          <w:ilvl w:val="0"/>
          <w:numId w:val="0"/>
        </w:numPr>
        <w:ind w:left="0" w:leftChars="0" w:firstLine="480" w:firstLineChars="200"/>
        <w:rPr>
          <w:rFonts w:hint="eastAsia" w:cs="Times New Roman"/>
          <w:color w:val="auto"/>
          <w:kern w:val="0"/>
          <w:sz w:val="24"/>
          <w:szCs w:val="24"/>
          <w:highlight w:val="none"/>
          <w:lang w:val="en-US" w:eastAsia="zh-CN"/>
        </w:rPr>
      </w:pPr>
      <w:r>
        <w:rPr>
          <w:rFonts w:hint="eastAsia" w:cs="Times New Roman"/>
          <w:color w:val="auto"/>
          <w:kern w:val="0"/>
          <w:sz w:val="24"/>
          <w:szCs w:val="24"/>
          <w:lang w:val="en-US" w:eastAsia="zh-CN" w:bidi="ar-SA"/>
        </w:rPr>
        <w:t>8</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highlight w:val="none"/>
          <w:lang w:val="en-US" w:eastAsia="zh-CN"/>
        </w:rPr>
        <w:t>环境空气</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验收检测期间，氯化氢满足《环境影响评价技术导则 大气环境》（HJ2.2-2018）中附录D要求；酚类满足《工业企业设计卫生标准》（</w:t>
      </w:r>
      <w:r>
        <w:rPr>
          <w:rFonts w:hint="eastAsia" w:cs="Times New Roman"/>
          <w:color w:val="auto"/>
          <w:lang w:val="en-US" w:eastAsia="zh-CN"/>
        </w:rPr>
        <w:t>TJ36-79</w:t>
      </w:r>
      <w:r>
        <w:rPr>
          <w:rFonts w:hint="default" w:ascii="Times New Roman" w:hAnsi="Times New Roman" w:cs="Times New Roman"/>
          <w:color w:val="auto"/>
          <w:highlight w:val="none"/>
          <w:lang w:val="en-US" w:eastAsia="zh-CN"/>
        </w:rPr>
        <w:t>）最高容许浓度。</w:t>
      </w:r>
    </w:p>
    <w:p>
      <w:pPr>
        <w:adjustRightInd w:val="0"/>
        <w:ind w:firstLine="482"/>
        <w:outlineLvl w:val="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五、工程建设对环境的影响</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通过对比，环评及验收期间，项目周边无新增敏感目标，监测结果表明：工程投产后废水、废气、噪声、地下水</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均能稳定达标，固体废物得到有效处置，工程建设未对周边环境造成不利影响。</w:t>
      </w:r>
    </w:p>
    <w:p>
      <w:pPr>
        <w:adjustRightInd w:val="0"/>
        <w:ind w:firstLine="482"/>
        <w:outlineLvl w:val="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六、验收结论及后续要求</w:t>
      </w:r>
    </w:p>
    <w:p>
      <w:pPr>
        <w:bidi w:val="0"/>
        <w:rPr>
          <w:rFonts w:hint="default" w:ascii="Times New Roman" w:hAnsi="Times New Roman" w:eastAsia="宋体" w:cs="Times New Roman"/>
          <w:color w:val="auto"/>
          <w:highlight w:val="none"/>
        </w:rPr>
      </w:pPr>
      <w:r>
        <w:rPr>
          <w:rFonts w:hint="eastAsia" w:cs="Times New Roman"/>
          <w:color w:val="auto"/>
          <w:highlight w:val="none"/>
          <w:lang w:val="en-US" w:eastAsia="zh-CN"/>
        </w:rPr>
        <w:t>山东瑞兴阻燃科技有限公司</w:t>
      </w:r>
      <w:r>
        <w:rPr>
          <w:rFonts w:hint="default" w:ascii="Times New Roman" w:hAnsi="Times New Roman" w:cs="Times New Roman"/>
          <w:color w:val="auto"/>
          <w:highlight w:val="none"/>
        </w:rPr>
        <w:t>本次验收项目各项环境保护设施已按照环境影响报告书、</w:t>
      </w:r>
      <w:r>
        <w:rPr>
          <w:rFonts w:hint="eastAsia" w:cs="Times New Roman"/>
          <w:color w:val="auto"/>
          <w:highlight w:val="none"/>
          <w:lang w:eastAsia="zh-CN"/>
        </w:rPr>
        <w:t>枣庄市生态环境局</w:t>
      </w:r>
      <w:r>
        <w:rPr>
          <w:rFonts w:hint="default" w:ascii="Times New Roman" w:hAnsi="Times New Roman" w:cs="Times New Roman"/>
          <w:color w:val="auto"/>
          <w:highlight w:val="none"/>
        </w:rPr>
        <w:t>批复意见的相关要求建成，落实了</w:t>
      </w:r>
      <w:r>
        <w:rPr>
          <w:rFonts w:hint="default" w:ascii="Times New Roman" w:hAnsi="Times New Roman" w:cs="Times New Roman"/>
          <w:color w:val="auto"/>
          <w:highlight w:val="none"/>
          <w:lang w:eastAsia="zh-CN"/>
        </w:rPr>
        <w:t>相关环保设施</w:t>
      </w:r>
      <w:r>
        <w:rPr>
          <w:rFonts w:hint="default" w:ascii="Times New Roman" w:hAnsi="Times New Roman" w:cs="Times New Roman"/>
          <w:color w:val="auto"/>
          <w:highlight w:val="none"/>
        </w:rPr>
        <w:t>措施，</w:t>
      </w:r>
      <w:r>
        <w:rPr>
          <w:rFonts w:hint="default" w:ascii="Times New Roman" w:hAnsi="Times New Roman" w:cs="Times New Roman"/>
          <w:color w:val="auto"/>
          <w:highlight w:val="none"/>
          <w:lang w:eastAsia="zh-CN"/>
        </w:rPr>
        <w:t>且</w:t>
      </w:r>
      <w:r>
        <w:rPr>
          <w:rFonts w:hint="default" w:ascii="Times New Roman" w:hAnsi="Times New Roman" w:cs="Times New Roman"/>
          <w:color w:val="auto"/>
          <w:highlight w:val="none"/>
        </w:rPr>
        <w:t>环保设施稳定运行。按《建设项目竣工环境保护验收暂行办法》对项目逐一对照核查，无其中所规定的验收不合格情形。工程建设未对周边环境造成不利影响。</w:t>
      </w:r>
      <w:r>
        <w:rPr>
          <w:rFonts w:hint="default" w:ascii="Times New Roman" w:hAnsi="Times New Roman" w:cs="Times New Roman"/>
          <w:color w:val="auto"/>
          <w:highlight w:val="none"/>
          <w:lang w:val="en-US" w:eastAsia="zh-CN"/>
        </w:rPr>
        <w:t>符合</w:t>
      </w:r>
      <w:r>
        <w:rPr>
          <w:rFonts w:hint="default" w:ascii="Times New Roman" w:hAnsi="Times New Roman" w:cs="Times New Roman"/>
          <w:color w:val="auto"/>
          <w:highlight w:val="none"/>
        </w:rPr>
        <w:t>竣工环境保护验收条件</w:t>
      </w:r>
      <w:r>
        <w:rPr>
          <w:rFonts w:hint="default" w:ascii="Times New Roman" w:hAnsi="Times New Roman" w:eastAsia="宋体" w:cs="Times New Roman"/>
          <w:color w:val="auto"/>
          <w:highlight w:val="none"/>
        </w:rPr>
        <w:t>。</w:t>
      </w:r>
    </w:p>
    <w:p>
      <w:pPr>
        <w:adjustRightInd w:val="0"/>
        <w:ind w:firstLine="482"/>
        <w:outlineLvl w:val="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七、验收监测报告主要修改、补充内容</w:t>
      </w:r>
    </w:p>
    <w:p>
      <w:pPr>
        <w:adjustRightInd w:val="0"/>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val="en-US" w:eastAsia="zh-CN"/>
        </w:rPr>
        <w:t>1、</w:t>
      </w:r>
      <w:r>
        <w:rPr>
          <w:rFonts w:hint="eastAsia" w:cs="Times New Roman"/>
          <w:color w:val="auto"/>
          <w:szCs w:val="24"/>
          <w:highlight w:val="none"/>
          <w:lang w:val="en-US" w:eastAsia="zh-CN"/>
        </w:rPr>
        <w:t>补充核实监测仪器溯源日期及溯源有效期</w:t>
      </w:r>
      <w:r>
        <w:rPr>
          <w:rFonts w:hint="default" w:ascii="Times New Roman" w:hAnsi="Times New Roman" w:cs="Times New Roman"/>
          <w:color w:val="auto"/>
          <w:szCs w:val="24"/>
          <w:highlight w:val="none"/>
        </w:rPr>
        <w:t>。</w:t>
      </w:r>
    </w:p>
    <w:p>
      <w:pPr>
        <w:adjustRightInd w:val="0"/>
        <w:ind w:firstLine="480"/>
        <w:rPr>
          <w:rFonts w:hint="default" w:ascii="Times New Roman" w:hAnsi="Times New Roman" w:cs="Times New Roman"/>
          <w:color w:val="auto"/>
          <w:szCs w:val="24"/>
          <w:highlight w:val="none"/>
          <w:lang w:val="en-US" w:eastAsia="zh-CN"/>
        </w:rPr>
      </w:pPr>
      <w:r>
        <w:rPr>
          <w:rFonts w:hint="eastAsia" w:cs="Times New Roman"/>
          <w:color w:val="auto"/>
          <w:szCs w:val="24"/>
          <w:highlight w:val="none"/>
          <w:lang w:val="en-US" w:eastAsia="zh-CN"/>
        </w:rPr>
        <w:t>2、补充车间平面布置图。</w:t>
      </w:r>
    </w:p>
    <w:p>
      <w:pPr>
        <w:ind w:firstLine="482"/>
        <w:outlineLvl w:val="0"/>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八、验收人员信息</w:t>
      </w:r>
    </w:p>
    <w:p>
      <w:pPr>
        <w:ind w:firstLine="480"/>
        <w:rPr>
          <w:rFonts w:hint="default" w:ascii="Times New Roman" w:hAnsi="Times New Roman" w:cs="Times New Roman"/>
          <w:color w:val="auto"/>
          <w:kern w:val="0"/>
          <w:szCs w:val="22"/>
          <w:highlight w:val="none"/>
        </w:rPr>
      </w:pPr>
      <w:r>
        <w:rPr>
          <w:rFonts w:hint="default" w:ascii="Times New Roman" w:hAnsi="Times New Roman" w:cs="Times New Roman"/>
          <w:color w:val="auto"/>
          <w:kern w:val="0"/>
          <w:szCs w:val="22"/>
          <w:highlight w:val="none"/>
        </w:rPr>
        <w:t>验收人员信息见下页。</w:t>
      </w:r>
    </w:p>
    <w:p>
      <w:pPr>
        <w:ind w:firstLine="480"/>
        <w:rPr>
          <w:rFonts w:hint="default" w:ascii="Times New Roman" w:hAnsi="Times New Roman" w:cs="Times New Roman"/>
          <w:color w:val="auto"/>
          <w:kern w:val="0"/>
          <w:szCs w:val="22"/>
          <w:highlight w:val="none"/>
        </w:rPr>
      </w:pPr>
    </w:p>
    <w:p>
      <w:pPr>
        <w:adjustRightInd w:val="0"/>
        <w:spacing w:line="360" w:lineRule="auto"/>
        <w:ind w:firstLine="6960" w:firstLineChars="29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验收工作组</w:t>
      </w:r>
    </w:p>
    <w:p>
      <w:pPr>
        <w:ind w:firstLine="0" w:firstLineChars="0"/>
        <w:jc w:val="righ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 xml:space="preserve">                                                   202</w:t>
      </w:r>
      <w:r>
        <w:rPr>
          <w:rFonts w:hint="eastAsia" w:cs="Times New Roman"/>
          <w:color w:val="auto"/>
          <w:szCs w:val="24"/>
          <w:highlight w:val="none"/>
          <w:lang w:val="en-US" w:eastAsia="zh-CN"/>
        </w:rPr>
        <w:t>4年4</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日</w:t>
      </w:r>
    </w:p>
    <w:p>
      <w:pPr>
        <w:pStyle w:val="12"/>
        <w:rPr>
          <w:rFonts w:hint="default"/>
        </w:rPr>
      </w:pPr>
    </w:p>
    <w:p>
      <w:pPr>
        <w:sectPr>
          <w:pgSz w:w="11906" w:h="16838"/>
          <w:pgMar w:top="1247" w:right="1417" w:bottom="1247" w:left="1587" w:header="851" w:footer="992" w:gutter="0"/>
          <w:cols w:space="425" w:num="1"/>
          <w:docGrid w:type="lines" w:linePitch="312" w:charSpace="0"/>
        </w:sectPr>
      </w:pPr>
    </w:p>
    <w:p>
      <w:pPr>
        <w:pStyle w:val="3"/>
        <w:ind w:left="0" w:leftChars="0" w:firstLine="0" w:firstLineChars="0"/>
        <w:rPr>
          <w:rFonts w:hint="default" w:ascii="Times New Roman" w:hAnsi="Times New Roman" w:eastAsia="宋体" w:cs="Times New Roman"/>
          <w:b/>
          <w:bCs w:val="0"/>
          <w:color w:val="000000"/>
          <w:sz w:val="36"/>
          <w:szCs w:val="36"/>
          <w:lang w:val="en-US" w:eastAsia="zh-CN"/>
        </w:rPr>
      </w:pPr>
      <w:r>
        <w:drawing>
          <wp:inline distT="0" distB="0" distL="114300" distR="114300">
            <wp:extent cx="5512435" cy="8672830"/>
            <wp:effectExtent l="0" t="0" r="139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rot="16200000">
                      <a:off x="0" y="0"/>
                      <a:ext cx="5512435" cy="8672830"/>
                    </a:xfrm>
                    <a:prstGeom prst="rect">
                      <a:avLst/>
                    </a:prstGeom>
                    <a:noFill/>
                    <a:ln>
                      <a:noFill/>
                    </a:ln>
                  </pic:spPr>
                </pic:pic>
              </a:graphicData>
            </a:graphic>
          </wp:inline>
        </w:drawing>
      </w:r>
    </w:p>
    <w:sectPr>
      <w:pgSz w:w="16838" w:h="11906" w:orient="landscape"/>
      <w:pgMar w:top="1587" w:right="1247" w:bottom="1417" w:left="124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CJK JP Regular">
    <w:altName w:val="Arial"/>
    <w:panose1 w:val="00000000000000000000"/>
    <w:charset w:val="00"/>
    <w:family w:val="swiss"/>
    <w:pitch w:val="default"/>
    <w:sig w:usb0="00000000" w:usb1="00000000" w:usb2="00000000" w:usb3="00000000" w:csb0="00040001" w:csb1="00000000"/>
  </w:font>
  <w:font w:name="FZZYJW--GB1-0">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05CFBD"/>
    <w:multiLevelType w:val="singleLevel"/>
    <w:tmpl w:val="EE05CFBD"/>
    <w:lvl w:ilvl="0" w:tentative="0">
      <w:start w:val="2"/>
      <w:numFmt w:val="decimal"/>
      <w:suff w:val="nothing"/>
      <w:lvlText w:val="（%1）"/>
      <w:lvlJc w:val="left"/>
    </w:lvl>
  </w:abstractNum>
  <w:abstractNum w:abstractNumId="1">
    <w:nsid w:val="04F240AD"/>
    <w:multiLevelType w:val="singleLevel"/>
    <w:tmpl w:val="04F240AD"/>
    <w:lvl w:ilvl="0" w:tentative="0">
      <w:start w:val="1"/>
      <w:numFmt w:val="decimal"/>
      <w:suff w:val="nothing"/>
      <w:lvlText w:val="%1、"/>
      <w:lvlJc w:val="left"/>
    </w:lvl>
  </w:abstractNum>
  <w:abstractNum w:abstractNumId="2">
    <w:nsid w:val="2EA8B9F4"/>
    <w:multiLevelType w:val="singleLevel"/>
    <w:tmpl w:val="2EA8B9F4"/>
    <w:lvl w:ilvl="0" w:tentative="0">
      <w:start w:val="1"/>
      <w:numFmt w:val="chineseCounting"/>
      <w:suff w:val="nothing"/>
      <w:lvlText w:val="（%1）"/>
      <w:lvlJc w:val="left"/>
      <w:rPr>
        <w:rFonts w:hint="eastAsia"/>
      </w:rPr>
    </w:lvl>
  </w:abstractNum>
  <w:abstractNum w:abstractNumId="3">
    <w:nsid w:val="4A728166"/>
    <w:multiLevelType w:val="singleLevel"/>
    <w:tmpl w:val="4A728166"/>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4">
    <w:nsid w:val="59D8916E"/>
    <w:multiLevelType w:val="singleLevel"/>
    <w:tmpl w:val="59D8916E"/>
    <w:lvl w:ilvl="0" w:tentative="0">
      <w:start w:val="1"/>
      <w:numFmt w:val="chineseCounting"/>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lZWFjZmRiY2M5NjZkNzA2MDU3NzFjN2EyNDRjOTcifQ=="/>
  </w:docVars>
  <w:rsids>
    <w:rsidRoot w:val="00000000"/>
    <w:rsid w:val="09F935EE"/>
    <w:rsid w:val="0C665966"/>
    <w:rsid w:val="0D1929A8"/>
    <w:rsid w:val="10B22749"/>
    <w:rsid w:val="11494373"/>
    <w:rsid w:val="117F3882"/>
    <w:rsid w:val="11A21A38"/>
    <w:rsid w:val="17A0779F"/>
    <w:rsid w:val="1EC35A86"/>
    <w:rsid w:val="1FB72377"/>
    <w:rsid w:val="29C406FA"/>
    <w:rsid w:val="2BDE26EC"/>
    <w:rsid w:val="2CD87284"/>
    <w:rsid w:val="2D2D4BA1"/>
    <w:rsid w:val="2DAD546B"/>
    <w:rsid w:val="2DED0014"/>
    <w:rsid w:val="323640DC"/>
    <w:rsid w:val="35C563A2"/>
    <w:rsid w:val="36980181"/>
    <w:rsid w:val="372E2279"/>
    <w:rsid w:val="3B855111"/>
    <w:rsid w:val="3DB07569"/>
    <w:rsid w:val="3FFE649B"/>
    <w:rsid w:val="4A187AA1"/>
    <w:rsid w:val="4D8F12CE"/>
    <w:rsid w:val="526A6FD8"/>
    <w:rsid w:val="54F617EA"/>
    <w:rsid w:val="5ADE201A"/>
    <w:rsid w:val="5C846CD5"/>
    <w:rsid w:val="5D0727F8"/>
    <w:rsid w:val="5D7C5AD1"/>
    <w:rsid w:val="5ECF116D"/>
    <w:rsid w:val="629F691F"/>
    <w:rsid w:val="6672656B"/>
    <w:rsid w:val="6787315C"/>
    <w:rsid w:val="6A8A3530"/>
    <w:rsid w:val="6D264D81"/>
    <w:rsid w:val="6FF22187"/>
    <w:rsid w:val="76D70D32"/>
    <w:rsid w:val="76F82E98"/>
    <w:rsid w:val="7BB11B4E"/>
    <w:rsid w:val="7DCE4F91"/>
    <w:rsid w:val="7DD21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w:basedOn w:val="1"/>
    <w:next w:val="1"/>
    <w:qFormat/>
    <w:uiPriority w:val="0"/>
    <w:pPr>
      <w:tabs>
        <w:tab w:val="left" w:pos="377"/>
      </w:tabs>
      <w:ind w:firstLine="420" w:firstLineChars="100"/>
    </w:pPr>
  </w:style>
  <w:style w:type="paragraph" w:styleId="3">
    <w:name w:val="Normal Indent"/>
    <w:basedOn w:val="1"/>
    <w:qFormat/>
    <w:uiPriority w:val="0"/>
    <w:pPr>
      <w:ind w:firstLine="420" w:firstLineChars="200"/>
    </w:pPr>
  </w:style>
  <w:style w:type="paragraph" w:styleId="4">
    <w:name w:val="annotation text"/>
    <w:basedOn w:val="1"/>
    <w:qFormat/>
    <w:uiPriority w:val="0"/>
    <w:pPr>
      <w:jc w:val="left"/>
    </w:pPr>
  </w:style>
  <w:style w:type="paragraph" w:styleId="5">
    <w:name w:val="Body Text"/>
    <w:basedOn w:val="1"/>
    <w:next w:val="6"/>
    <w:qFormat/>
    <w:uiPriority w:val="0"/>
    <w:pPr>
      <w:spacing w:after="120" w:afterLines="0"/>
    </w:pPr>
  </w:style>
  <w:style w:type="paragraph" w:styleId="6">
    <w:name w:val="List Bullet 5"/>
    <w:basedOn w:val="1"/>
    <w:qFormat/>
    <w:uiPriority w:val="0"/>
    <w:pPr>
      <w:numPr>
        <w:ilvl w:val="0"/>
        <w:numId w:val="1"/>
      </w:numPr>
    </w:pPr>
  </w:style>
  <w:style w:type="paragraph" w:styleId="7">
    <w:name w:val="Body Text Indent"/>
    <w:basedOn w:val="1"/>
    <w:next w:val="8"/>
    <w:qFormat/>
    <w:uiPriority w:val="0"/>
    <w:pPr>
      <w:spacing w:afterLines="0" w:afterAutospacing="0"/>
      <w:ind w:left="0" w:leftChars="0"/>
    </w:pPr>
    <w:rPr>
      <w:rFonts w:ascii="Times New Roman" w:hAnsi="Times New Roman" w:eastAsia="宋体"/>
    </w:rPr>
  </w:style>
  <w:style w:type="paragraph" w:customStyle="1" w:styleId="8">
    <w:name w:val="样式 正文文本缩进 + 行距: 1.5 倍行距"/>
    <w:basedOn w:val="9"/>
    <w:qFormat/>
    <w:uiPriority w:val="0"/>
    <w:pPr>
      <w:spacing w:line="360" w:lineRule="auto"/>
      <w:ind w:left="90" w:leftChars="32" w:firstLine="560"/>
    </w:pPr>
    <w:rPr>
      <w:rFonts w:cs="宋体"/>
      <w:szCs w:val="20"/>
    </w:rPr>
  </w:style>
  <w:style w:type="paragraph" w:customStyle="1" w:styleId="9">
    <w:name w:val="正文文本缩进1"/>
    <w:basedOn w:val="1"/>
    <w:next w:val="8"/>
    <w:qFormat/>
    <w:uiPriority w:val="0"/>
    <w:pPr>
      <w:spacing w:after="120"/>
      <w:ind w:left="420" w:leftChars="200"/>
    </w:pPr>
    <w:rPr>
      <w:rFonts w:ascii="Times New Roman" w:hAnsi="Times New Roman" w:eastAsia="宋体"/>
      <w:sz w:val="24"/>
    </w:rPr>
  </w:style>
  <w:style w:type="paragraph" w:styleId="10">
    <w:name w:val="header"/>
    <w:basedOn w:val="1"/>
    <w:next w:val="11"/>
    <w:qFormat/>
    <w:uiPriority w:val="0"/>
    <w:pPr>
      <w:pBdr>
        <w:bottom w:val="single" w:color="auto" w:sz="6" w:space="1"/>
      </w:pBdr>
      <w:tabs>
        <w:tab w:val="center" w:pos="4153"/>
        <w:tab w:val="right" w:pos="8306"/>
      </w:tabs>
      <w:snapToGrid w:val="0"/>
      <w:jc w:val="center"/>
    </w:pPr>
    <w:rPr>
      <w:sz w:val="18"/>
      <w:szCs w:val="18"/>
    </w:rPr>
  </w:style>
  <w:style w:type="paragraph" w:customStyle="1" w:styleId="11">
    <w:name w:val="样式5"/>
    <w:basedOn w:val="5"/>
    <w:next w:val="1"/>
    <w:qFormat/>
    <w:uiPriority w:val="0"/>
    <w:pPr>
      <w:autoSpaceDE w:val="0"/>
      <w:autoSpaceDN w:val="0"/>
      <w:spacing w:line="400" w:lineRule="exact"/>
      <w:ind w:firstLine="200" w:firstLineChars="200"/>
      <w:jc w:val="left"/>
    </w:pPr>
    <w:rPr>
      <w:rFonts w:ascii="Noto Sans CJK JP Regular" w:hAnsi="Noto Sans CJK JP Regular" w:eastAsia="Noto Sans CJK JP Regular" w:cs="Noto Sans CJK JP Regular"/>
      <w:kern w:val="0"/>
      <w:sz w:val="24"/>
      <w:szCs w:val="20"/>
      <w:lang w:eastAsia="en-US"/>
    </w:rPr>
  </w:style>
  <w:style w:type="paragraph" w:styleId="12">
    <w:name w:val="Body Text First Indent 2"/>
    <w:basedOn w:val="7"/>
    <w:next w:val="1"/>
    <w:qFormat/>
    <w:uiPriority w:val="0"/>
    <w:pPr>
      <w:spacing w:line="360" w:lineRule="auto"/>
      <w:ind w:left="0" w:leftChars="0" w:firstLine="420" w:firstLineChars="200"/>
    </w:pPr>
    <w:rPr>
      <w:rFonts w:ascii="Times New Roman" w:hAnsi="Times New Roman" w:eastAsia="宋体"/>
      <w:lang w:val="zh-CN" w:eastAsia="zh-CN" w:bidi="zh-CN"/>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
    <w:name w:val="SB表格"/>
    <w:basedOn w:val="1"/>
    <w:qFormat/>
    <w:uiPriority w:val="0"/>
    <w:pPr>
      <w:adjustRightInd w:val="0"/>
      <w:snapToGrid w:val="0"/>
      <w:spacing w:line="280" w:lineRule="exact"/>
      <w:ind w:firstLine="0" w:firstLineChars="0"/>
      <w:jc w:val="center"/>
      <w:outlineLvl w:val="9"/>
    </w:pPr>
    <w:rPr>
      <w:rFonts w:ascii="Times New Roman" w:hAnsi="Times New Roman" w:eastAsia="宋体" w:cs="Times New Roman"/>
      <w:color w:val="auto"/>
      <w:sz w:val="21"/>
      <w:szCs w:val="21"/>
    </w:rPr>
  </w:style>
  <w:style w:type="paragraph" w:customStyle="1" w:styleId="17">
    <w:name w:val="Default"/>
    <w:qFormat/>
    <w:uiPriority w:val="0"/>
    <w:pPr>
      <w:widowControl w:val="0"/>
      <w:autoSpaceDE w:val="0"/>
      <w:autoSpaceDN w:val="0"/>
      <w:adjustRightInd w:val="0"/>
    </w:pPr>
    <w:rPr>
      <w:rFonts w:ascii="FZZYJW--GB1-0" w:hAnsi="Times New Roman" w:eastAsia="FZZYJW--GB1-0" w:cs="FZZYJW--GB1-0"/>
      <w:color w:val="000000"/>
      <w:sz w:val="24"/>
      <w:szCs w:val="24"/>
      <w:lang w:val="en-US" w:eastAsia="zh-CN" w:bidi="ar-SA"/>
    </w:rPr>
  </w:style>
  <w:style w:type="paragraph" w:customStyle="1" w:styleId="18">
    <w:name w:val="图、表头文字"/>
    <w:next w:val="1"/>
    <w:qFormat/>
    <w:uiPriority w:val="0"/>
    <w:pPr>
      <w:spacing w:line="360" w:lineRule="auto"/>
      <w:jc w:val="center"/>
    </w:pPr>
    <w:rPr>
      <w:rFonts w:ascii="Times New Roman" w:hAnsi="Times New Roman" w:eastAsia="黑体" w:cs="Times New Roman"/>
      <w:kern w:val="2"/>
      <w:sz w:val="24"/>
      <w:szCs w:val="32"/>
      <w:lang w:val="en-US" w:eastAsia="zh-CN" w:bidi="ar-SA"/>
    </w:rPr>
  </w:style>
  <w:style w:type="paragraph" w:customStyle="1" w:styleId="19">
    <w:name w:val="图表文字"/>
    <w:basedOn w:val="1"/>
    <w:qFormat/>
    <w:uiPriority w:val="0"/>
    <w:pPr>
      <w:spacing w:line="240" w:lineRule="auto"/>
      <w:ind w:firstLine="0" w:firstLineChars="0"/>
      <w:jc w:val="center"/>
    </w:pPr>
    <w:rPr>
      <w:rFonts w:ascii="Times New Roman" w:hAnsi="Times New Roman"/>
      <w:bCs/>
      <w:sz w:val="21"/>
      <w:szCs w:val="20"/>
    </w:rPr>
  </w:style>
  <w:style w:type="paragraph" w:customStyle="1" w:styleId="20">
    <w:name w:val="表格文字"/>
    <w:basedOn w:val="3"/>
    <w:next w:val="1"/>
    <w:qFormat/>
    <w:uiPriority w:val="0"/>
    <w:pPr>
      <w:spacing w:line="240" w:lineRule="auto"/>
      <w:ind w:firstLine="0" w:firstLineChars="0"/>
      <w:jc w:val="center"/>
    </w:pPr>
    <w:rPr>
      <w:spacing w:val="10"/>
      <w:kern w:val="0"/>
      <w:sz w:val="21"/>
      <w:szCs w:val="21"/>
    </w:rPr>
  </w:style>
  <w:style w:type="paragraph" w:customStyle="1" w:styleId="21">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2">
    <w:name w:val="表格"/>
    <w:basedOn w:val="1"/>
    <w:qFormat/>
    <w:uiPriority w:val="0"/>
    <w:pPr>
      <w:spacing w:line="240" w:lineRule="auto"/>
      <w:ind w:firstLine="0" w:firstLineChars="0"/>
      <w:jc w:val="center"/>
    </w:pPr>
    <w:rPr>
      <w:rFonts w:ascii="Times New Roman" w:hAnsi="Times New Roman"/>
      <w:sz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2024-04-10T00:12:00Z</dcterms:created>
  <dc:creator>Administrator</dc:creator>
  <cp:lastModifiedBy>O_o</cp:lastModifiedBy>
  <dcterms:modified xsi:type="dcterms:W3CDTF">2024-05-15T02:16:31Z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89EEC307E0A942AC935DCD34C361F73D_12</vt:lpwstr>
  </property>
</Properties>
</file>