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155FFF">
      <w:pPr>
        <w:ind w:firstLine="260" w:firstLineChars="50"/>
        <w:jc w:val="right"/>
        <w:rPr>
          <w:rFonts w:ascii="幼圆" w:hAnsi="宋体" w:eastAsia="幼圆"/>
          <w:sz w:val="52"/>
          <w:szCs w:val="52"/>
        </w:rPr>
      </w:pPr>
    </w:p>
    <w:p w14:paraId="5910E36B">
      <w:pPr>
        <w:jc w:val="center"/>
        <w:rPr>
          <w:rFonts w:hint="eastAsia" w:ascii="宋体" w:hAnsi="宋体" w:eastAsia="宋体" w:cs="宋体"/>
          <w:b/>
          <w:sz w:val="44"/>
          <w:szCs w:val="44"/>
          <w:lang w:val="en-US" w:eastAsia="zh-CN"/>
        </w:rPr>
      </w:pPr>
      <w:r>
        <w:rPr>
          <w:rFonts w:hint="eastAsia" w:ascii="宋体" w:hAnsi="宋体" w:eastAsia="宋体" w:cs="宋体"/>
          <w:b/>
          <w:sz w:val="44"/>
          <w:szCs w:val="44"/>
          <w:lang w:val="en-US" w:eastAsia="zh-CN"/>
        </w:rPr>
        <w:t>山东省国林助学慈善基金会</w:t>
      </w:r>
    </w:p>
    <w:p w14:paraId="2FE93952">
      <w:pPr>
        <w:ind w:firstLine="221" w:firstLineChars="50"/>
        <w:jc w:val="center"/>
        <w:rPr>
          <w:rFonts w:hint="eastAsia" w:ascii="宋体" w:hAnsi="宋体" w:eastAsia="宋体" w:cs="宋体"/>
          <w:b/>
          <w:sz w:val="44"/>
          <w:szCs w:val="44"/>
        </w:rPr>
      </w:pPr>
    </w:p>
    <w:p w14:paraId="7A06A798">
      <w:pPr>
        <w:ind w:firstLine="221" w:firstLineChars="50"/>
        <w:jc w:val="center"/>
        <w:rPr>
          <w:rFonts w:hint="eastAsia" w:ascii="宋体" w:hAnsi="宋体" w:eastAsia="宋体" w:cs="宋体"/>
          <w:b/>
          <w:sz w:val="44"/>
          <w:szCs w:val="44"/>
        </w:rPr>
      </w:pPr>
      <w:r>
        <w:rPr>
          <w:rFonts w:hint="eastAsia" w:ascii="宋体" w:hAnsi="宋体" w:eastAsia="宋体" w:cs="宋体"/>
          <w:b/>
          <w:sz w:val="44"/>
          <w:szCs w:val="44"/>
        </w:rPr>
        <w:t>财务管理制度</w:t>
      </w:r>
    </w:p>
    <w:p w14:paraId="5F7B3D94">
      <w:pPr>
        <w:jc w:val="right"/>
        <w:rPr>
          <w:rFonts w:ascii="宋体" w:hAnsi="宋体"/>
          <w:sz w:val="28"/>
          <w:szCs w:val="28"/>
          <w:u w:val="single"/>
        </w:rPr>
      </w:pPr>
    </w:p>
    <w:p w14:paraId="2D991792">
      <w:pPr>
        <w:jc w:val="left"/>
        <w:rPr>
          <w:rFonts w:ascii="宋体" w:hAnsi="宋体"/>
          <w:sz w:val="28"/>
          <w:szCs w:val="28"/>
        </w:rPr>
      </w:pPr>
      <w:r>
        <w:rPr>
          <w:rFonts w:ascii="宋体" w:hAnsi="宋体"/>
          <w:sz w:val="28"/>
          <w:szCs w:val="28"/>
        </w:rPr>
        <w:br w:type="page"/>
      </w:r>
    </w:p>
    <w:p w14:paraId="2C71BE94">
      <w:pPr>
        <w:jc w:val="center"/>
        <w:rPr>
          <w:rFonts w:ascii="宋体" w:hAnsi="宋体"/>
          <w:sz w:val="44"/>
          <w:szCs w:val="44"/>
        </w:rPr>
      </w:pPr>
      <w:r>
        <w:rPr>
          <w:rFonts w:hint="eastAsia" w:ascii="宋体" w:hAnsi="宋体"/>
          <w:sz w:val="44"/>
          <w:szCs w:val="44"/>
        </w:rPr>
        <w:t>目  录</w:t>
      </w:r>
    </w:p>
    <w:p w14:paraId="47745C6B">
      <w:pPr>
        <w:pStyle w:val="9"/>
      </w:pPr>
    </w:p>
    <w:p w14:paraId="7A142D07">
      <w:pPr>
        <w:pStyle w:val="9"/>
      </w:pPr>
    </w:p>
    <w:p w14:paraId="16681581">
      <w:pPr>
        <w:pStyle w:val="9"/>
        <w:rPr>
          <w:rFonts w:ascii="Times New Roman" w:hAnsi="Times New Roman"/>
          <w:kern w:val="2"/>
          <w:sz w:val="21"/>
          <w:szCs w:val="24"/>
        </w:rPr>
      </w:pPr>
      <w:r>
        <w:rPr>
          <w:rFonts w:ascii="宋体" w:hAnsi="宋体"/>
        </w:rPr>
        <w:fldChar w:fldCharType="begin"/>
      </w:r>
      <w:r>
        <w:rPr>
          <w:rFonts w:ascii="宋体" w:hAnsi="宋体"/>
        </w:rPr>
        <w:instrText xml:space="preserve"> </w:instrText>
      </w:r>
      <w:r>
        <w:rPr>
          <w:rFonts w:hint="eastAsia" w:ascii="宋体" w:hAnsi="宋体"/>
        </w:rPr>
        <w:instrText xml:space="preserve">TOC \o "1-1" \h \z \u</w:instrText>
      </w:r>
      <w:r>
        <w:rPr>
          <w:rFonts w:ascii="宋体" w:hAnsi="宋体"/>
        </w:rPr>
        <w:instrText xml:space="preserve"> </w:instrText>
      </w:r>
      <w:r>
        <w:rPr>
          <w:rFonts w:ascii="宋体" w:hAnsi="宋体"/>
        </w:rPr>
        <w:fldChar w:fldCharType="separate"/>
      </w:r>
      <w:r>
        <w:fldChar w:fldCharType="begin"/>
      </w:r>
      <w:r>
        <w:instrText xml:space="preserve"> HYPERLINK \l "_Toc320197019" </w:instrText>
      </w:r>
      <w:r>
        <w:fldChar w:fldCharType="separate"/>
      </w:r>
      <w:r>
        <w:rPr>
          <w:rStyle w:val="14"/>
          <w:rFonts w:hint="eastAsia"/>
          <w:color w:val="auto"/>
        </w:rPr>
        <w:t>第一章</w:t>
      </w:r>
      <w:r>
        <w:rPr>
          <w:rStyle w:val="14"/>
          <w:color w:val="auto"/>
        </w:rPr>
        <w:t xml:space="preserve"> </w:t>
      </w:r>
      <w:r>
        <w:rPr>
          <w:rStyle w:val="14"/>
          <w:rFonts w:hint="eastAsia"/>
          <w:color w:val="auto"/>
        </w:rPr>
        <w:t>货币资金管理</w:t>
      </w:r>
      <w:r>
        <w:tab/>
      </w:r>
      <w:r>
        <w:fldChar w:fldCharType="begin"/>
      </w:r>
      <w:r>
        <w:instrText xml:space="preserve"> PAGEREF _Toc320197019 \h </w:instrText>
      </w:r>
      <w:r>
        <w:fldChar w:fldCharType="separate"/>
      </w:r>
      <w:r>
        <w:t>1</w:t>
      </w:r>
      <w:r>
        <w:fldChar w:fldCharType="end"/>
      </w:r>
      <w:r>
        <w:fldChar w:fldCharType="end"/>
      </w:r>
    </w:p>
    <w:p w14:paraId="1B784536">
      <w:pPr>
        <w:pStyle w:val="9"/>
        <w:rPr>
          <w:rFonts w:ascii="Times New Roman" w:hAnsi="Times New Roman"/>
          <w:kern w:val="2"/>
        </w:rPr>
      </w:pPr>
      <w:r>
        <w:fldChar w:fldCharType="begin"/>
      </w:r>
      <w:r>
        <w:instrText xml:space="preserve"> HYPERLINK \l "_Toc320197020" </w:instrText>
      </w:r>
      <w:r>
        <w:fldChar w:fldCharType="separate"/>
      </w:r>
      <w:r>
        <w:rPr>
          <w:rStyle w:val="14"/>
          <w:rFonts w:hint="eastAsia"/>
          <w:color w:val="auto"/>
        </w:rPr>
        <w:t>第二章</w:t>
      </w:r>
      <w:r>
        <w:rPr>
          <w:rStyle w:val="14"/>
          <w:color w:val="auto"/>
        </w:rPr>
        <w:t xml:space="preserve"> </w:t>
      </w:r>
      <w:r>
        <w:rPr>
          <w:rStyle w:val="14"/>
          <w:rFonts w:hint="eastAsia"/>
          <w:color w:val="auto"/>
        </w:rPr>
        <w:t>收入管理</w:t>
      </w:r>
      <w:r>
        <w:tab/>
      </w:r>
      <w:r>
        <w:fldChar w:fldCharType="begin"/>
      </w:r>
      <w:r>
        <w:instrText xml:space="preserve"> PAGEREF _Toc320197020 \h </w:instrText>
      </w:r>
      <w:r>
        <w:fldChar w:fldCharType="separate"/>
      </w:r>
      <w:r>
        <w:t>2</w:t>
      </w:r>
      <w:r>
        <w:fldChar w:fldCharType="end"/>
      </w:r>
      <w:r>
        <w:fldChar w:fldCharType="end"/>
      </w:r>
    </w:p>
    <w:p w14:paraId="4C7796D6">
      <w:pPr>
        <w:pStyle w:val="9"/>
        <w:rPr>
          <w:rFonts w:ascii="Times New Roman" w:hAnsi="Times New Roman"/>
          <w:kern w:val="2"/>
          <w:sz w:val="21"/>
          <w:szCs w:val="24"/>
        </w:rPr>
      </w:pPr>
      <w:r>
        <w:fldChar w:fldCharType="begin"/>
      </w:r>
      <w:r>
        <w:instrText xml:space="preserve"> HYPERLINK \l "_Toc320197021" </w:instrText>
      </w:r>
      <w:r>
        <w:fldChar w:fldCharType="separate"/>
      </w:r>
      <w:r>
        <w:rPr>
          <w:rStyle w:val="14"/>
          <w:rFonts w:hint="eastAsia"/>
          <w:color w:val="auto"/>
        </w:rPr>
        <w:t>第三章</w:t>
      </w:r>
      <w:r>
        <w:rPr>
          <w:rStyle w:val="14"/>
          <w:color w:val="auto"/>
        </w:rPr>
        <w:t xml:space="preserve"> </w:t>
      </w:r>
      <w:r>
        <w:rPr>
          <w:rStyle w:val="14"/>
          <w:rFonts w:hint="eastAsia"/>
          <w:color w:val="auto"/>
        </w:rPr>
        <w:t>支出管理</w:t>
      </w:r>
      <w:r>
        <w:tab/>
      </w:r>
      <w:r>
        <w:fldChar w:fldCharType="begin"/>
      </w:r>
      <w:r>
        <w:instrText xml:space="preserve"> PAGEREF _Toc320197021 \h </w:instrText>
      </w:r>
      <w:r>
        <w:fldChar w:fldCharType="separate"/>
      </w:r>
      <w:r>
        <w:t>3</w:t>
      </w:r>
      <w:r>
        <w:fldChar w:fldCharType="end"/>
      </w:r>
      <w:r>
        <w:fldChar w:fldCharType="end"/>
      </w:r>
    </w:p>
    <w:p w14:paraId="5175CD14">
      <w:pPr>
        <w:pStyle w:val="9"/>
        <w:rPr>
          <w:rFonts w:ascii="Times New Roman" w:hAnsi="Times New Roman"/>
          <w:kern w:val="2"/>
          <w:sz w:val="21"/>
          <w:szCs w:val="24"/>
        </w:rPr>
      </w:pPr>
      <w:r>
        <w:fldChar w:fldCharType="begin"/>
      </w:r>
      <w:r>
        <w:instrText xml:space="preserve"> HYPERLINK \l "_Toc320197022" </w:instrText>
      </w:r>
      <w:r>
        <w:fldChar w:fldCharType="separate"/>
      </w:r>
      <w:r>
        <w:rPr>
          <w:rStyle w:val="14"/>
          <w:rFonts w:hint="eastAsia"/>
          <w:color w:val="auto"/>
        </w:rPr>
        <w:t>第四章</w:t>
      </w:r>
      <w:r>
        <w:rPr>
          <w:rStyle w:val="14"/>
          <w:color w:val="auto"/>
        </w:rPr>
        <w:t xml:space="preserve"> </w:t>
      </w:r>
      <w:r>
        <w:rPr>
          <w:rStyle w:val="14"/>
          <w:rFonts w:hint="eastAsia"/>
          <w:color w:val="auto"/>
        </w:rPr>
        <w:t>项目核算</w:t>
      </w:r>
      <w:r>
        <w:tab/>
      </w:r>
      <w:r>
        <w:fldChar w:fldCharType="begin"/>
      </w:r>
      <w:r>
        <w:instrText xml:space="preserve"> PAGEREF _Toc320197022 \h </w:instrText>
      </w:r>
      <w:r>
        <w:fldChar w:fldCharType="separate"/>
      </w:r>
      <w:r>
        <w:t>5</w:t>
      </w:r>
      <w:r>
        <w:fldChar w:fldCharType="end"/>
      </w:r>
      <w:r>
        <w:fldChar w:fldCharType="end"/>
      </w:r>
    </w:p>
    <w:p w14:paraId="222479A1">
      <w:pPr>
        <w:pStyle w:val="9"/>
        <w:rPr>
          <w:rFonts w:ascii="Times New Roman" w:hAnsi="Times New Roman"/>
          <w:kern w:val="2"/>
          <w:sz w:val="21"/>
          <w:szCs w:val="24"/>
        </w:rPr>
      </w:pPr>
      <w:r>
        <w:fldChar w:fldCharType="begin"/>
      </w:r>
      <w:r>
        <w:instrText xml:space="preserve"> HYPERLINK \l "_Toc320197023" </w:instrText>
      </w:r>
      <w:r>
        <w:fldChar w:fldCharType="separate"/>
      </w:r>
      <w:r>
        <w:rPr>
          <w:rStyle w:val="14"/>
          <w:rFonts w:hint="eastAsia"/>
          <w:color w:val="auto"/>
        </w:rPr>
        <w:t>第五章</w:t>
      </w:r>
      <w:r>
        <w:rPr>
          <w:rStyle w:val="14"/>
          <w:color w:val="auto"/>
        </w:rPr>
        <w:t xml:space="preserve"> </w:t>
      </w:r>
      <w:r>
        <w:rPr>
          <w:rStyle w:val="14"/>
          <w:rFonts w:hint="eastAsia"/>
          <w:color w:val="auto"/>
        </w:rPr>
        <w:t>预算管理</w:t>
      </w:r>
      <w:r>
        <w:tab/>
      </w:r>
      <w:r>
        <w:fldChar w:fldCharType="begin"/>
      </w:r>
      <w:r>
        <w:instrText xml:space="preserve"> PAGEREF _Toc320197023 \h </w:instrText>
      </w:r>
      <w:r>
        <w:fldChar w:fldCharType="separate"/>
      </w:r>
      <w:r>
        <w:t>6</w:t>
      </w:r>
      <w:r>
        <w:fldChar w:fldCharType="end"/>
      </w:r>
      <w:r>
        <w:fldChar w:fldCharType="end"/>
      </w:r>
    </w:p>
    <w:p w14:paraId="10DD0145">
      <w:pPr>
        <w:pStyle w:val="9"/>
        <w:rPr>
          <w:rFonts w:ascii="Times New Roman" w:hAnsi="Times New Roman"/>
          <w:kern w:val="2"/>
          <w:sz w:val="21"/>
          <w:szCs w:val="24"/>
        </w:rPr>
      </w:pPr>
      <w:r>
        <w:fldChar w:fldCharType="begin"/>
      </w:r>
      <w:r>
        <w:instrText xml:space="preserve"> HYPERLINK \l "_Toc320197024" </w:instrText>
      </w:r>
      <w:r>
        <w:fldChar w:fldCharType="separate"/>
      </w:r>
      <w:r>
        <w:rPr>
          <w:rStyle w:val="14"/>
          <w:rFonts w:hint="eastAsia"/>
          <w:color w:val="auto"/>
        </w:rPr>
        <w:t>第七章</w:t>
      </w:r>
      <w:r>
        <w:rPr>
          <w:rStyle w:val="14"/>
          <w:color w:val="auto"/>
        </w:rPr>
        <w:t xml:space="preserve"> </w:t>
      </w:r>
      <w:r>
        <w:rPr>
          <w:rStyle w:val="14"/>
          <w:rFonts w:hint="eastAsia"/>
          <w:color w:val="auto"/>
        </w:rPr>
        <w:t>财务报告编制</w:t>
      </w:r>
      <w:r>
        <w:tab/>
      </w:r>
      <w:r>
        <w:fldChar w:fldCharType="begin"/>
      </w:r>
      <w:r>
        <w:instrText xml:space="preserve"> PAGEREF _Toc320197024 \h </w:instrText>
      </w:r>
      <w:r>
        <w:fldChar w:fldCharType="separate"/>
      </w:r>
      <w:r>
        <w:t>9</w:t>
      </w:r>
      <w:r>
        <w:fldChar w:fldCharType="end"/>
      </w:r>
      <w:r>
        <w:fldChar w:fldCharType="end"/>
      </w:r>
    </w:p>
    <w:p w14:paraId="1F9AB00D">
      <w:pPr>
        <w:pStyle w:val="9"/>
        <w:rPr>
          <w:rFonts w:ascii="Times New Roman" w:hAnsi="Times New Roman"/>
          <w:kern w:val="2"/>
          <w:sz w:val="21"/>
          <w:szCs w:val="24"/>
        </w:rPr>
      </w:pPr>
      <w:r>
        <w:fldChar w:fldCharType="begin"/>
      </w:r>
      <w:r>
        <w:instrText xml:space="preserve"> HYPERLINK \l "_Toc320197025" </w:instrText>
      </w:r>
      <w:r>
        <w:fldChar w:fldCharType="separate"/>
      </w:r>
      <w:r>
        <w:rPr>
          <w:rStyle w:val="14"/>
          <w:rFonts w:hint="eastAsia"/>
          <w:color w:val="auto"/>
        </w:rPr>
        <w:t>第八章</w:t>
      </w:r>
      <w:r>
        <w:rPr>
          <w:rStyle w:val="14"/>
          <w:color w:val="auto"/>
        </w:rPr>
        <w:t xml:space="preserve"> </w:t>
      </w:r>
      <w:r>
        <w:rPr>
          <w:rStyle w:val="14"/>
          <w:rFonts w:hint="eastAsia"/>
          <w:color w:val="auto"/>
        </w:rPr>
        <w:t>财务岗位设置及职责</w:t>
      </w:r>
      <w:r>
        <w:tab/>
      </w:r>
      <w:r>
        <w:fldChar w:fldCharType="begin"/>
      </w:r>
      <w:r>
        <w:instrText xml:space="preserve"> PAGEREF _Toc320197025 \h </w:instrText>
      </w:r>
      <w:r>
        <w:fldChar w:fldCharType="separate"/>
      </w:r>
      <w:r>
        <w:t>10</w:t>
      </w:r>
      <w:r>
        <w:fldChar w:fldCharType="end"/>
      </w:r>
      <w:r>
        <w:fldChar w:fldCharType="end"/>
      </w:r>
    </w:p>
    <w:p w14:paraId="25083B81">
      <w:pPr>
        <w:pStyle w:val="9"/>
        <w:rPr>
          <w:rFonts w:ascii="Times New Roman" w:hAnsi="Times New Roman"/>
          <w:kern w:val="2"/>
          <w:sz w:val="21"/>
          <w:szCs w:val="24"/>
        </w:rPr>
      </w:pPr>
      <w:r>
        <w:fldChar w:fldCharType="begin"/>
      </w:r>
      <w:r>
        <w:instrText xml:space="preserve"> HYPERLINK \l "_Toc320197026" </w:instrText>
      </w:r>
      <w:r>
        <w:fldChar w:fldCharType="separate"/>
      </w:r>
      <w:r>
        <w:rPr>
          <w:rStyle w:val="14"/>
          <w:rFonts w:hint="eastAsia"/>
          <w:color w:val="auto"/>
        </w:rPr>
        <w:t>第九章</w:t>
      </w:r>
      <w:r>
        <w:rPr>
          <w:rStyle w:val="14"/>
          <w:color w:val="auto"/>
        </w:rPr>
        <w:t xml:space="preserve"> </w:t>
      </w:r>
      <w:r>
        <w:rPr>
          <w:rStyle w:val="14"/>
          <w:rFonts w:hint="eastAsia"/>
          <w:color w:val="auto"/>
        </w:rPr>
        <w:t>理事会财务职责</w:t>
      </w:r>
      <w:r>
        <w:tab/>
      </w:r>
      <w:r>
        <w:fldChar w:fldCharType="begin"/>
      </w:r>
      <w:r>
        <w:instrText xml:space="preserve"> PAGEREF _Toc320197026 \h </w:instrText>
      </w:r>
      <w:r>
        <w:fldChar w:fldCharType="separate"/>
      </w:r>
      <w:r>
        <w:t>11</w:t>
      </w:r>
      <w:r>
        <w:fldChar w:fldCharType="end"/>
      </w:r>
      <w:r>
        <w:fldChar w:fldCharType="end"/>
      </w:r>
    </w:p>
    <w:p w14:paraId="73BC756E">
      <w:pPr>
        <w:pStyle w:val="9"/>
        <w:rPr>
          <w:rFonts w:ascii="Times New Roman" w:hAnsi="Times New Roman"/>
          <w:kern w:val="2"/>
          <w:sz w:val="21"/>
          <w:szCs w:val="24"/>
        </w:rPr>
      </w:pPr>
      <w:r>
        <w:fldChar w:fldCharType="begin"/>
      </w:r>
      <w:r>
        <w:instrText xml:space="preserve"> HYPERLINK \l "_Toc320197027" </w:instrText>
      </w:r>
      <w:r>
        <w:fldChar w:fldCharType="separate"/>
      </w:r>
      <w:r>
        <w:rPr>
          <w:rStyle w:val="14"/>
          <w:rFonts w:hint="eastAsia"/>
          <w:color w:val="auto"/>
        </w:rPr>
        <w:t>附一</w:t>
      </w:r>
      <w:r>
        <w:rPr>
          <w:rStyle w:val="14"/>
          <w:color w:val="auto"/>
        </w:rPr>
        <w:t xml:space="preserve"> </w:t>
      </w:r>
      <w:r>
        <w:rPr>
          <w:rStyle w:val="14"/>
          <w:rFonts w:hint="eastAsia"/>
          <w:color w:val="auto"/>
        </w:rPr>
        <w:t>支出申请单填报规范</w:t>
      </w:r>
      <w:r>
        <w:tab/>
      </w:r>
      <w:r>
        <w:fldChar w:fldCharType="begin"/>
      </w:r>
      <w:r>
        <w:instrText xml:space="preserve"> PAGEREF _Toc320197027 \h </w:instrText>
      </w:r>
      <w:r>
        <w:fldChar w:fldCharType="separate"/>
      </w:r>
      <w:r>
        <w:t>12</w:t>
      </w:r>
      <w:r>
        <w:fldChar w:fldCharType="end"/>
      </w:r>
      <w:r>
        <w:fldChar w:fldCharType="end"/>
      </w:r>
    </w:p>
    <w:p w14:paraId="45E3CE95">
      <w:pPr>
        <w:pStyle w:val="9"/>
        <w:rPr>
          <w:rFonts w:ascii="Times New Roman" w:hAnsi="Times New Roman"/>
          <w:kern w:val="2"/>
          <w:sz w:val="21"/>
          <w:szCs w:val="24"/>
        </w:rPr>
      </w:pPr>
      <w:r>
        <w:fldChar w:fldCharType="begin"/>
      </w:r>
      <w:r>
        <w:instrText xml:space="preserve"> HYPERLINK \l "_Toc320197028" </w:instrText>
      </w:r>
      <w:r>
        <w:fldChar w:fldCharType="separate"/>
      </w:r>
      <w:r>
        <w:rPr>
          <w:rStyle w:val="14"/>
          <w:rFonts w:hint="eastAsia"/>
          <w:color w:val="auto"/>
        </w:rPr>
        <w:t>附二</w:t>
      </w:r>
      <w:r>
        <w:rPr>
          <w:rStyle w:val="14"/>
          <w:color w:val="auto"/>
        </w:rPr>
        <w:t xml:space="preserve"> </w:t>
      </w:r>
      <w:r>
        <w:rPr>
          <w:rStyle w:val="14"/>
          <w:rFonts w:hint="eastAsia"/>
          <w:color w:val="auto"/>
        </w:rPr>
        <w:t>资助业务执行规程（草案）</w:t>
      </w:r>
      <w:r>
        <w:tab/>
      </w:r>
      <w:r>
        <w:fldChar w:fldCharType="begin"/>
      </w:r>
      <w:r>
        <w:instrText xml:space="preserve"> PAGEREF _Toc320197028 \h </w:instrText>
      </w:r>
      <w:r>
        <w:fldChar w:fldCharType="separate"/>
      </w:r>
      <w:r>
        <w:t>13</w:t>
      </w:r>
      <w:r>
        <w:fldChar w:fldCharType="end"/>
      </w:r>
      <w:r>
        <w:fldChar w:fldCharType="end"/>
      </w:r>
    </w:p>
    <w:p w14:paraId="4D671B16">
      <w:pPr>
        <w:pStyle w:val="9"/>
        <w:rPr>
          <w:rFonts w:ascii="Times New Roman" w:hAnsi="Times New Roman"/>
          <w:kern w:val="2"/>
          <w:sz w:val="21"/>
          <w:szCs w:val="24"/>
        </w:rPr>
      </w:pPr>
      <w:r>
        <w:fldChar w:fldCharType="begin"/>
      </w:r>
      <w:r>
        <w:instrText xml:space="preserve"> HYPERLINK \l "_Toc320197029" </w:instrText>
      </w:r>
      <w:r>
        <w:fldChar w:fldCharType="separate"/>
      </w:r>
      <w:r>
        <w:rPr>
          <w:rStyle w:val="14"/>
          <w:rFonts w:hint="eastAsia"/>
          <w:color w:val="auto"/>
        </w:rPr>
        <w:t>附三</w:t>
      </w:r>
      <w:r>
        <w:rPr>
          <w:rStyle w:val="14"/>
          <w:color w:val="auto"/>
        </w:rPr>
        <w:t xml:space="preserve"> </w:t>
      </w:r>
      <w:r>
        <w:rPr>
          <w:rStyle w:val="14"/>
          <w:rFonts w:hint="eastAsia"/>
          <w:color w:val="auto"/>
        </w:rPr>
        <w:t>职工个人因私借款制度（草案）</w:t>
      </w:r>
      <w:r>
        <w:tab/>
      </w:r>
      <w:r>
        <w:fldChar w:fldCharType="begin"/>
      </w:r>
      <w:r>
        <w:instrText xml:space="preserve"> PAGEREF _Toc320197029 \h </w:instrText>
      </w:r>
      <w:r>
        <w:fldChar w:fldCharType="separate"/>
      </w:r>
      <w:r>
        <w:t>14</w:t>
      </w:r>
      <w:r>
        <w:fldChar w:fldCharType="end"/>
      </w:r>
      <w:r>
        <w:fldChar w:fldCharType="end"/>
      </w:r>
    </w:p>
    <w:p w14:paraId="38DB334E">
      <w:pPr>
        <w:jc w:val="center"/>
        <w:rPr>
          <w:rFonts w:ascii="宋体" w:hAnsi="宋体"/>
          <w:sz w:val="28"/>
          <w:szCs w:val="28"/>
        </w:rPr>
      </w:pPr>
      <w:r>
        <w:rPr>
          <w:rFonts w:ascii="宋体" w:hAnsi="宋体"/>
          <w:sz w:val="28"/>
          <w:szCs w:val="28"/>
        </w:rPr>
        <w:fldChar w:fldCharType="end"/>
      </w:r>
    </w:p>
    <w:p w14:paraId="11357B38">
      <w:pPr>
        <w:rPr>
          <w:rFonts w:ascii="宋体" w:hAnsi="宋体"/>
          <w:sz w:val="28"/>
          <w:szCs w:val="28"/>
        </w:rPr>
      </w:pPr>
    </w:p>
    <w:p w14:paraId="5C00BD64">
      <w:pPr>
        <w:rPr>
          <w:rFonts w:ascii="宋体" w:hAnsi="宋体"/>
          <w:sz w:val="28"/>
          <w:szCs w:val="28"/>
        </w:rPr>
      </w:pPr>
    </w:p>
    <w:p w14:paraId="35C0D885">
      <w:pPr>
        <w:rPr>
          <w:rFonts w:ascii="宋体" w:hAnsi="宋体"/>
          <w:sz w:val="28"/>
          <w:szCs w:val="28"/>
        </w:rPr>
      </w:pPr>
    </w:p>
    <w:p w14:paraId="79B6177E">
      <w:pPr>
        <w:sectPr>
          <w:headerReference r:id="rId3" w:type="default"/>
          <w:footerReference r:id="rId5" w:type="default"/>
          <w:headerReference r:id="rId4" w:type="even"/>
          <w:pgSz w:w="11906" w:h="16838"/>
          <w:pgMar w:top="1440" w:right="1800" w:bottom="1440" w:left="1800" w:header="851" w:footer="992" w:gutter="0"/>
          <w:cols w:space="425" w:num="1"/>
          <w:docGrid w:type="lines" w:linePitch="312" w:charSpace="0"/>
        </w:sectPr>
      </w:pPr>
    </w:p>
    <w:p w14:paraId="71B2CB8C">
      <w:pPr>
        <w:pStyle w:val="2"/>
        <w:spacing w:line="240" w:lineRule="auto"/>
        <w:jc w:val="center"/>
      </w:pPr>
      <w:bookmarkStart w:id="0" w:name="_Toc320197019"/>
      <w:bookmarkStart w:id="1" w:name="_Toc235526472"/>
      <w:r>
        <w:rPr>
          <w:rFonts w:hint="eastAsia"/>
        </w:rPr>
        <w:t>第一章 货币资金管理</w:t>
      </w:r>
      <w:bookmarkEnd w:id="0"/>
      <w:bookmarkEnd w:id="1"/>
    </w:p>
    <w:p w14:paraId="786B8D54">
      <w:pPr>
        <w:pStyle w:val="15"/>
        <w:numPr>
          <w:ilvl w:val="0"/>
          <w:numId w:val="1"/>
        </w:numPr>
        <w:ind w:firstLineChars="0"/>
        <w:rPr>
          <w:b/>
          <w:szCs w:val="21"/>
        </w:rPr>
      </w:pPr>
      <w:r>
        <w:rPr>
          <w:rFonts w:hint="eastAsia"/>
          <w:b/>
          <w:szCs w:val="21"/>
        </w:rPr>
        <w:t>总则</w:t>
      </w:r>
    </w:p>
    <w:p w14:paraId="4DD70EB4">
      <w:pPr>
        <w:rPr>
          <w:szCs w:val="21"/>
        </w:rPr>
      </w:pPr>
    </w:p>
    <w:p w14:paraId="7F9116DF">
      <w:pPr>
        <w:numPr>
          <w:ilvl w:val="0"/>
          <w:numId w:val="2"/>
        </w:numPr>
        <w:rPr>
          <w:szCs w:val="21"/>
        </w:rPr>
      </w:pPr>
      <w:r>
        <w:rPr>
          <w:rFonts w:hint="eastAsia"/>
          <w:szCs w:val="21"/>
        </w:rPr>
        <w:t>为了规范</w:t>
      </w:r>
      <w:r>
        <w:rPr>
          <w:rFonts w:hint="eastAsia"/>
          <w:szCs w:val="21"/>
          <w:lang w:eastAsia="zh-CN"/>
        </w:rPr>
        <w:t>山东省国林助学慈善基金会</w:t>
      </w:r>
      <w:r>
        <w:rPr>
          <w:rFonts w:hint="eastAsia"/>
          <w:szCs w:val="21"/>
        </w:rPr>
        <w:t>（以下简称“基金会”）对货币资金的内部控制，保证货币资金的安全，提高货币资金的使用效益，制定本制度。</w:t>
      </w:r>
    </w:p>
    <w:p w14:paraId="2F1881F1">
      <w:pPr>
        <w:numPr>
          <w:ilvl w:val="0"/>
          <w:numId w:val="2"/>
        </w:numPr>
        <w:rPr>
          <w:szCs w:val="21"/>
        </w:rPr>
      </w:pPr>
      <w:r>
        <w:rPr>
          <w:rFonts w:hint="eastAsia"/>
          <w:szCs w:val="21"/>
        </w:rPr>
        <w:t>本制度所称货币资金，是指基金会所拥有或控制的现金、银行存款和其他货币资金。</w:t>
      </w:r>
    </w:p>
    <w:p w14:paraId="3D47DAED">
      <w:pPr>
        <w:pStyle w:val="15"/>
        <w:ind w:left="510" w:firstLine="0" w:firstLineChars="0"/>
        <w:rPr>
          <w:b/>
          <w:szCs w:val="21"/>
        </w:rPr>
      </w:pPr>
    </w:p>
    <w:p w14:paraId="6E7F70B0">
      <w:pPr>
        <w:pStyle w:val="15"/>
        <w:numPr>
          <w:ilvl w:val="0"/>
          <w:numId w:val="1"/>
        </w:numPr>
        <w:ind w:firstLineChars="0"/>
        <w:rPr>
          <w:b/>
          <w:szCs w:val="21"/>
        </w:rPr>
      </w:pPr>
      <w:r>
        <w:rPr>
          <w:rFonts w:hint="eastAsia"/>
          <w:b/>
          <w:szCs w:val="21"/>
        </w:rPr>
        <w:t>现金管理</w:t>
      </w:r>
      <w:bookmarkStart w:id="18" w:name="_GoBack"/>
      <w:bookmarkEnd w:id="18"/>
    </w:p>
    <w:p w14:paraId="20BB4CE7">
      <w:pPr>
        <w:rPr>
          <w:szCs w:val="21"/>
        </w:rPr>
      </w:pPr>
    </w:p>
    <w:p w14:paraId="49B45477">
      <w:pPr>
        <w:numPr>
          <w:ilvl w:val="0"/>
          <w:numId w:val="3"/>
        </w:numPr>
        <w:rPr>
          <w:szCs w:val="21"/>
        </w:rPr>
      </w:pPr>
      <w:r>
        <w:rPr>
          <w:rFonts w:hint="eastAsia"/>
          <w:szCs w:val="21"/>
        </w:rPr>
        <w:t>现金的收入、支出和保管由出纳负责；</w:t>
      </w:r>
    </w:p>
    <w:p w14:paraId="41D2C5C4">
      <w:pPr>
        <w:numPr>
          <w:ilvl w:val="0"/>
          <w:numId w:val="3"/>
        </w:numPr>
        <w:rPr>
          <w:szCs w:val="21"/>
        </w:rPr>
      </w:pPr>
      <w:r>
        <w:rPr>
          <w:rFonts w:hint="eastAsia"/>
          <w:szCs w:val="21"/>
        </w:rPr>
        <w:t>现金的收入包括：现金捐款、被资助</w:t>
      </w:r>
      <w:r>
        <w:rPr>
          <w:rFonts w:hint="eastAsia"/>
          <w:szCs w:val="21"/>
          <w:lang w:eastAsia="zh-CN"/>
        </w:rPr>
        <w:t>学生</w:t>
      </w:r>
      <w:r>
        <w:rPr>
          <w:rFonts w:hint="eastAsia"/>
          <w:szCs w:val="21"/>
        </w:rPr>
        <w:t>现金退款以及员工借支退款。收到现金时，由收款人清点现金金额，填制《收入凭单》，并由缴款人、会计主管人员及出纳在《收入凭单》上签字。出纳根据填写完整的《收入凭单》及时登记现金收入日记账；</w:t>
      </w:r>
    </w:p>
    <w:p w14:paraId="22BA5156">
      <w:pPr>
        <w:numPr>
          <w:ilvl w:val="0"/>
          <w:numId w:val="3"/>
        </w:numPr>
        <w:rPr>
          <w:szCs w:val="21"/>
        </w:rPr>
      </w:pPr>
      <w:r>
        <w:rPr>
          <w:rFonts w:hint="eastAsia"/>
          <w:szCs w:val="21"/>
        </w:rPr>
        <w:t>收到的现金应与备用金分开保管，并及时存入银行；</w:t>
      </w:r>
    </w:p>
    <w:p w14:paraId="2ACF52AE">
      <w:pPr>
        <w:numPr>
          <w:ilvl w:val="0"/>
          <w:numId w:val="3"/>
        </w:numPr>
        <w:spacing w:before="24"/>
        <w:ind w:right="-20"/>
        <w:rPr>
          <w:szCs w:val="21"/>
        </w:rPr>
      </w:pPr>
      <w:r>
        <w:rPr>
          <w:szCs w:val="21"/>
        </w:rPr>
        <w:t>备用金是</w:t>
      </w:r>
      <w:r>
        <w:rPr>
          <w:rFonts w:hint="eastAsia"/>
          <w:szCs w:val="21"/>
        </w:rPr>
        <w:t>本</w:t>
      </w:r>
      <w:r>
        <w:rPr>
          <w:szCs w:val="21"/>
        </w:rPr>
        <w:t>基金会内部工作人员用作零星开支、差旅费等以现金方式</w:t>
      </w:r>
      <w:r>
        <w:rPr>
          <w:rFonts w:hint="eastAsia"/>
          <w:szCs w:val="21"/>
        </w:rPr>
        <w:t>支付</w:t>
      </w:r>
      <w:r>
        <w:rPr>
          <w:szCs w:val="21"/>
        </w:rPr>
        <w:t>的款项</w:t>
      </w:r>
      <w:r>
        <w:rPr>
          <w:rFonts w:hint="eastAsia"/>
          <w:szCs w:val="21"/>
        </w:rPr>
        <w:t xml:space="preserve">。备用金的现金库存余额不得超过人民币5000元； </w:t>
      </w:r>
    </w:p>
    <w:p w14:paraId="626EC586">
      <w:pPr>
        <w:numPr>
          <w:ilvl w:val="0"/>
          <w:numId w:val="3"/>
        </w:numPr>
        <w:spacing w:before="22"/>
        <w:ind w:right="-20"/>
        <w:rPr>
          <w:rFonts w:ascii="宋体" w:hAnsi="宋体" w:cs="宋体"/>
          <w:szCs w:val="21"/>
        </w:rPr>
      </w:pPr>
      <w:r>
        <w:rPr>
          <w:rFonts w:hint="eastAsia" w:ascii="宋体" w:hAnsi="宋体" w:cs="宋体"/>
          <w:spacing w:val="2"/>
          <w:szCs w:val="21"/>
        </w:rPr>
        <w:t>备用金</w:t>
      </w:r>
      <w:r>
        <w:rPr>
          <w:rFonts w:ascii="宋体" w:hAnsi="宋体" w:cs="宋体"/>
          <w:spacing w:val="2"/>
          <w:szCs w:val="21"/>
        </w:rPr>
        <w:t>的提取：提取</w:t>
      </w:r>
      <w:r>
        <w:rPr>
          <w:rFonts w:hint="eastAsia" w:ascii="宋体" w:hAnsi="宋体" w:cs="宋体"/>
          <w:spacing w:val="2"/>
          <w:szCs w:val="21"/>
        </w:rPr>
        <w:t>备用金</w:t>
      </w:r>
      <w:r>
        <w:rPr>
          <w:rFonts w:ascii="宋体" w:hAnsi="宋体" w:cs="宋体"/>
          <w:spacing w:val="2"/>
          <w:szCs w:val="21"/>
        </w:rPr>
        <w:t>前，出纳应填</w:t>
      </w:r>
      <w:r>
        <w:rPr>
          <w:rFonts w:ascii="宋体" w:hAnsi="宋体" w:cs="宋体"/>
          <w:spacing w:val="19"/>
          <w:szCs w:val="21"/>
        </w:rPr>
        <w:t>写</w:t>
      </w:r>
      <w:r>
        <w:rPr>
          <w:rFonts w:hint="eastAsia" w:ascii="宋体" w:hAnsi="宋体" w:cs="宋体"/>
          <w:spacing w:val="2"/>
          <w:szCs w:val="21"/>
        </w:rPr>
        <w:t>《</w:t>
      </w:r>
      <w:r>
        <w:rPr>
          <w:rFonts w:ascii="宋体" w:hAnsi="宋体" w:cs="宋体"/>
          <w:spacing w:val="2"/>
          <w:szCs w:val="21"/>
        </w:rPr>
        <w:t>银行提现申请</w:t>
      </w:r>
      <w:r>
        <w:rPr>
          <w:rFonts w:ascii="宋体" w:hAnsi="宋体" w:cs="宋体"/>
          <w:spacing w:val="7"/>
          <w:szCs w:val="21"/>
        </w:rPr>
        <w:t>单</w:t>
      </w:r>
      <w:r>
        <w:rPr>
          <w:rFonts w:hint="eastAsia" w:ascii="宋体" w:hAnsi="宋体" w:cs="宋体"/>
          <w:spacing w:val="7"/>
          <w:szCs w:val="21"/>
        </w:rPr>
        <w:t>》</w:t>
      </w:r>
      <w:r>
        <w:rPr>
          <w:rFonts w:hint="eastAsia" w:ascii="宋体" w:hAnsi="宋体" w:cs="宋体"/>
          <w:spacing w:val="2"/>
          <w:szCs w:val="21"/>
        </w:rPr>
        <w:t>，</w:t>
      </w:r>
      <w:r>
        <w:rPr>
          <w:rFonts w:ascii="宋体" w:hAnsi="宋体" w:cs="宋体"/>
          <w:spacing w:val="2"/>
          <w:szCs w:val="21"/>
        </w:rPr>
        <w:t>并注明用途、金额，经财务</w:t>
      </w:r>
      <w:r>
        <w:rPr>
          <w:rFonts w:hint="eastAsia" w:ascii="宋体" w:hAnsi="宋体" w:cs="宋体"/>
          <w:szCs w:val="21"/>
        </w:rPr>
        <w:t>主管或者运营部部长</w:t>
      </w:r>
      <w:r>
        <w:rPr>
          <w:rFonts w:ascii="宋体" w:hAnsi="宋体" w:cs="宋体"/>
          <w:szCs w:val="21"/>
        </w:rPr>
        <w:t>签</w:t>
      </w:r>
      <w:r>
        <w:rPr>
          <w:rFonts w:ascii="宋体" w:hAnsi="宋体" w:cs="宋体"/>
          <w:spacing w:val="2"/>
          <w:szCs w:val="21"/>
        </w:rPr>
        <w:t>字</w:t>
      </w:r>
      <w:r>
        <w:rPr>
          <w:rFonts w:ascii="宋体" w:hAnsi="宋体" w:cs="宋体"/>
          <w:szCs w:val="21"/>
        </w:rPr>
        <w:t>批</w:t>
      </w:r>
      <w:r>
        <w:rPr>
          <w:rFonts w:ascii="宋体" w:hAnsi="宋体" w:cs="宋体"/>
          <w:spacing w:val="2"/>
          <w:szCs w:val="21"/>
        </w:rPr>
        <w:t>准</w:t>
      </w:r>
      <w:r>
        <w:rPr>
          <w:rFonts w:ascii="宋体" w:hAnsi="宋体" w:cs="宋体"/>
          <w:szCs w:val="21"/>
        </w:rPr>
        <w:t>。</w:t>
      </w:r>
      <w:r>
        <w:rPr>
          <w:rFonts w:ascii="宋体" w:hAnsi="宋体" w:cs="宋体"/>
          <w:spacing w:val="2"/>
          <w:szCs w:val="21"/>
        </w:rPr>
        <w:t>除</w:t>
      </w:r>
      <w:r>
        <w:rPr>
          <w:rFonts w:ascii="宋体" w:hAnsi="宋体" w:cs="宋体"/>
          <w:szCs w:val="21"/>
        </w:rPr>
        <w:t>特</w:t>
      </w:r>
      <w:r>
        <w:rPr>
          <w:rFonts w:ascii="宋体" w:hAnsi="宋体" w:cs="宋体"/>
          <w:spacing w:val="2"/>
          <w:szCs w:val="21"/>
        </w:rPr>
        <w:t>殊</w:t>
      </w:r>
      <w:r>
        <w:rPr>
          <w:rFonts w:ascii="宋体" w:hAnsi="宋体" w:cs="宋体"/>
          <w:szCs w:val="21"/>
        </w:rPr>
        <w:t>情</w:t>
      </w:r>
      <w:r>
        <w:rPr>
          <w:rFonts w:ascii="宋体" w:hAnsi="宋体" w:cs="宋体"/>
          <w:spacing w:val="2"/>
          <w:szCs w:val="21"/>
        </w:rPr>
        <w:t>况</w:t>
      </w:r>
      <w:r>
        <w:rPr>
          <w:rFonts w:ascii="宋体" w:hAnsi="宋体" w:cs="宋体"/>
          <w:szCs w:val="21"/>
        </w:rPr>
        <w:t>外</w:t>
      </w:r>
      <w:r>
        <w:rPr>
          <w:rFonts w:ascii="宋体" w:hAnsi="宋体" w:cs="宋体"/>
          <w:spacing w:val="2"/>
          <w:szCs w:val="21"/>
        </w:rPr>
        <w:t>，</w:t>
      </w:r>
      <w:r>
        <w:rPr>
          <w:rFonts w:ascii="宋体" w:hAnsi="宋体" w:cs="宋体"/>
          <w:szCs w:val="21"/>
        </w:rPr>
        <w:t>一</w:t>
      </w:r>
      <w:r>
        <w:rPr>
          <w:rFonts w:ascii="宋体" w:hAnsi="宋体" w:cs="宋体"/>
          <w:spacing w:val="2"/>
          <w:szCs w:val="21"/>
        </w:rPr>
        <w:t>次</w:t>
      </w:r>
      <w:r>
        <w:rPr>
          <w:rFonts w:ascii="宋体" w:hAnsi="宋体" w:cs="宋体"/>
          <w:szCs w:val="21"/>
        </w:rPr>
        <w:t>提</w:t>
      </w:r>
      <w:r>
        <w:rPr>
          <w:rFonts w:ascii="宋体" w:hAnsi="宋体" w:cs="宋体"/>
          <w:spacing w:val="2"/>
          <w:szCs w:val="21"/>
        </w:rPr>
        <w:t>取</w:t>
      </w:r>
      <w:r>
        <w:rPr>
          <w:rFonts w:ascii="宋体" w:hAnsi="宋体" w:cs="宋体"/>
          <w:szCs w:val="21"/>
        </w:rPr>
        <w:t>现</w:t>
      </w:r>
      <w:r>
        <w:rPr>
          <w:rFonts w:ascii="宋体" w:hAnsi="宋体" w:cs="宋体"/>
          <w:spacing w:val="2"/>
          <w:szCs w:val="21"/>
        </w:rPr>
        <w:t>金</w:t>
      </w:r>
      <w:r>
        <w:rPr>
          <w:rFonts w:ascii="宋体" w:hAnsi="宋体" w:cs="宋体"/>
          <w:szCs w:val="21"/>
        </w:rPr>
        <w:t>不</w:t>
      </w:r>
      <w:r>
        <w:rPr>
          <w:rFonts w:ascii="宋体" w:hAnsi="宋体" w:cs="宋体"/>
          <w:spacing w:val="2"/>
          <w:szCs w:val="21"/>
        </w:rPr>
        <w:t>得</w:t>
      </w:r>
      <w:r>
        <w:rPr>
          <w:rFonts w:ascii="宋体" w:hAnsi="宋体" w:cs="宋体"/>
          <w:szCs w:val="21"/>
        </w:rPr>
        <w:t>超</w:t>
      </w:r>
      <w:r>
        <w:rPr>
          <w:rFonts w:ascii="宋体" w:hAnsi="宋体" w:cs="宋体"/>
          <w:spacing w:val="2"/>
          <w:szCs w:val="21"/>
        </w:rPr>
        <w:t>过</w:t>
      </w:r>
      <w:r>
        <w:rPr>
          <w:rFonts w:hint="eastAsia" w:ascii="宋体" w:hAnsi="宋体" w:cs="宋体"/>
          <w:spacing w:val="2"/>
          <w:szCs w:val="21"/>
        </w:rPr>
        <w:t>人民币5000</w:t>
      </w:r>
      <w:r>
        <w:rPr>
          <w:rFonts w:ascii="宋体" w:hAnsi="宋体" w:cs="宋体"/>
          <w:szCs w:val="21"/>
        </w:rPr>
        <w:t>元；</w:t>
      </w:r>
    </w:p>
    <w:p w14:paraId="04C74054">
      <w:pPr>
        <w:numPr>
          <w:ilvl w:val="0"/>
          <w:numId w:val="3"/>
        </w:numPr>
        <w:rPr>
          <w:szCs w:val="21"/>
        </w:rPr>
      </w:pPr>
      <w:r>
        <w:rPr>
          <w:rFonts w:hint="eastAsia"/>
          <w:szCs w:val="21"/>
        </w:rPr>
        <w:t>用现金支付的范围主要包括：不超过1000元的小额办公支出、项目支出及采购、不具备银行支付条件的对私业务、现付的报销款、差旅费、员工节假日补贴等。不属于现金开支范围的业务应当通过银行办理转账结算；</w:t>
      </w:r>
    </w:p>
    <w:p w14:paraId="15B6A4F6">
      <w:pPr>
        <w:numPr>
          <w:ilvl w:val="0"/>
          <w:numId w:val="3"/>
        </w:numPr>
        <w:rPr>
          <w:szCs w:val="21"/>
        </w:rPr>
      </w:pPr>
      <w:r>
        <w:rPr>
          <w:rFonts w:hint="eastAsia"/>
          <w:szCs w:val="21"/>
        </w:rPr>
        <w:t>借出款项必须执行严格的审核批准程序，严禁擅自挪用、借出货币资金。</w:t>
      </w:r>
    </w:p>
    <w:p w14:paraId="67605C9F">
      <w:pPr>
        <w:numPr>
          <w:ilvl w:val="0"/>
          <w:numId w:val="3"/>
        </w:numPr>
        <w:rPr>
          <w:szCs w:val="21"/>
        </w:rPr>
      </w:pPr>
      <w:r>
        <w:rPr>
          <w:rFonts w:hint="eastAsia"/>
          <w:szCs w:val="21"/>
        </w:rPr>
        <w:t>出纳于每月末对现金进行盘点，由财务主管负责监盘，编制《现金盘点表》。确保现金账面余额与实际库存相符。发现不符，及时查明原因，做出处理。</w:t>
      </w:r>
    </w:p>
    <w:p w14:paraId="7CF83E41">
      <w:pPr>
        <w:pStyle w:val="15"/>
        <w:ind w:left="510" w:firstLine="0" w:firstLineChars="0"/>
        <w:rPr>
          <w:b/>
          <w:szCs w:val="21"/>
        </w:rPr>
      </w:pPr>
    </w:p>
    <w:p w14:paraId="2F96CAC0">
      <w:pPr>
        <w:pStyle w:val="15"/>
        <w:numPr>
          <w:ilvl w:val="0"/>
          <w:numId w:val="1"/>
        </w:numPr>
        <w:ind w:firstLineChars="0"/>
        <w:rPr>
          <w:b/>
          <w:szCs w:val="21"/>
        </w:rPr>
      </w:pPr>
      <w:r>
        <w:rPr>
          <w:rFonts w:hint="eastAsia"/>
          <w:b/>
          <w:szCs w:val="21"/>
        </w:rPr>
        <w:t>银行存款管理</w:t>
      </w:r>
    </w:p>
    <w:p w14:paraId="081CC455">
      <w:pPr>
        <w:rPr>
          <w:szCs w:val="21"/>
        </w:rPr>
      </w:pPr>
    </w:p>
    <w:p w14:paraId="09E61C3B">
      <w:pPr>
        <w:numPr>
          <w:ilvl w:val="0"/>
          <w:numId w:val="4"/>
        </w:numPr>
        <w:rPr>
          <w:szCs w:val="21"/>
        </w:rPr>
      </w:pPr>
      <w:r>
        <w:rPr>
          <w:rFonts w:hint="eastAsia"/>
          <w:szCs w:val="21"/>
        </w:rPr>
        <w:t>组织用银行支付的业务主要包括</w:t>
      </w:r>
      <w:r>
        <w:rPr>
          <w:rFonts w:hint="eastAsia"/>
          <w:szCs w:val="21"/>
          <w:u w:val="single"/>
        </w:rPr>
        <w:t>金额超过1000元的业务结算、证券投资及其他超出现金支付范围的业务</w:t>
      </w:r>
      <w:r>
        <w:rPr>
          <w:rFonts w:hint="eastAsia"/>
          <w:szCs w:val="21"/>
        </w:rPr>
        <w:t>。</w:t>
      </w:r>
    </w:p>
    <w:p w14:paraId="5BB447CC">
      <w:pPr>
        <w:numPr>
          <w:ilvl w:val="0"/>
          <w:numId w:val="4"/>
        </w:numPr>
        <w:rPr>
          <w:szCs w:val="21"/>
        </w:rPr>
      </w:pPr>
      <w:r>
        <w:rPr>
          <w:rFonts w:hint="eastAsia"/>
          <w:szCs w:val="21"/>
        </w:rPr>
        <w:t>若月末银行对账单与银行账面金额存在差异，由出纳负责编制《银行调节表》，会计负责审核。</w:t>
      </w:r>
    </w:p>
    <w:p w14:paraId="5F0EFF6D">
      <w:pPr>
        <w:pStyle w:val="15"/>
        <w:ind w:left="510" w:firstLine="0" w:firstLineChars="0"/>
        <w:rPr>
          <w:b/>
          <w:szCs w:val="21"/>
        </w:rPr>
      </w:pPr>
    </w:p>
    <w:p w14:paraId="2E09DB82">
      <w:pPr>
        <w:pStyle w:val="15"/>
        <w:numPr>
          <w:ilvl w:val="0"/>
          <w:numId w:val="1"/>
        </w:numPr>
        <w:ind w:firstLineChars="0"/>
        <w:rPr>
          <w:b/>
          <w:szCs w:val="21"/>
        </w:rPr>
      </w:pPr>
      <w:r>
        <w:rPr>
          <w:rFonts w:hint="eastAsia"/>
          <w:b/>
          <w:szCs w:val="21"/>
        </w:rPr>
        <w:t>票据及有关印章的管理</w:t>
      </w:r>
    </w:p>
    <w:p w14:paraId="77399C51">
      <w:pPr>
        <w:rPr>
          <w:szCs w:val="21"/>
        </w:rPr>
      </w:pPr>
    </w:p>
    <w:p w14:paraId="39F89381">
      <w:pPr>
        <w:numPr>
          <w:ilvl w:val="0"/>
          <w:numId w:val="5"/>
        </w:numPr>
        <w:rPr>
          <w:szCs w:val="21"/>
        </w:rPr>
      </w:pPr>
      <w:r>
        <w:rPr>
          <w:rFonts w:hint="eastAsia"/>
          <w:szCs w:val="21"/>
        </w:rPr>
        <w:t>组织对银行预留印鉴实行严格的管理，不得由同一个人保管支付款项所需的全部印章。财务专用章由出纳保管，法人章由法人或其授权人保管。</w:t>
      </w:r>
    </w:p>
    <w:p w14:paraId="6445F3FF">
      <w:pPr>
        <w:numPr>
          <w:ilvl w:val="0"/>
          <w:numId w:val="5"/>
        </w:numPr>
        <w:rPr>
          <w:szCs w:val="21"/>
        </w:rPr>
      </w:pPr>
      <w:r>
        <w:rPr>
          <w:rFonts w:hint="eastAsia"/>
          <w:szCs w:val="21"/>
        </w:rPr>
        <w:t>采用支票付款方式的，支票簿和财务专用章由出纳保管，法人章由秘书长或其授权人保管。</w:t>
      </w:r>
    </w:p>
    <w:p w14:paraId="5472F6EA">
      <w:pPr>
        <w:numPr>
          <w:ilvl w:val="0"/>
          <w:numId w:val="5"/>
        </w:numPr>
        <w:rPr>
          <w:szCs w:val="21"/>
        </w:rPr>
      </w:pPr>
      <w:r>
        <w:rPr>
          <w:rFonts w:hint="eastAsia"/>
          <w:szCs w:val="21"/>
        </w:rPr>
        <w:t>采用网上银行付款方式的，密码由出纳保管，保安编码器由秘书长或其授权人保管。</w:t>
      </w:r>
    </w:p>
    <w:p w14:paraId="7E9C3A7B">
      <w:pPr>
        <w:pStyle w:val="2"/>
        <w:spacing w:line="240" w:lineRule="auto"/>
        <w:jc w:val="center"/>
      </w:pPr>
      <w:bookmarkStart w:id="2" w:name="_Toc235526475"/>
      <w:bookmarkStart w:id="3" w:name="_Toc320197020"/>
      <w:r>
        <w:br w:type="page"/>
      </w:r>
      <w:r>
        <w:rPr>
          <w:rFonts w:hint="eastAsia"/>
        </w:rPr>
        <w:t>第二章 收入管理</w:t>
      </w:r>
      <w:bookmarkEnd w:id="2"/>
      <w:bookmarkEnd w:id="3"/>
    </w:p>
    <w:p w14:paraId="46C2B681">
      <w:pPr>
        <w:rPr>
          <w:b/>
          <w:szCs w:val="21"/>
        </w:rPr>
      </w:pPr>
      <w:r>
        <w:rPr>
          <w:rFonts w:hint="eastAsia"/>
          <w:b/>
          <w:szCs w:val="21"/>
        </w:rPr>
        <w:t>一、总则</w:t>
      </w:r>
    </w:p>
    <w:p w14:paraId="5D1E6EC3">
      <w:pPr>
        <w:ind w:left="2" w:leftChars="1" w:firstLine="420" w:firstLineChars="200"/>
        <w:rPr>
          <w:szCs w:val="21"/>
        </w:rPr>
      </w:pPr>
      <w:r>
        <w:rPr>
          <w:rFonts w:hint="eastAsia"/>
          <w:szCs w:val="21"/>
        </w:rPr>
        <w:t>为了规范组织对收入的内部控制，保证收入及时、准确、完整的入账，制定本规范。</w:t>
      </w:r>
    </w:p>
    <w:p w14:paraId="5E01FEC0">
      <w:pPr>
        <w:rPr>
          <w:b/>
          <w:szCs w:val="21"/>
        </w:rPr>
      </w:pPr>
      <w:r>
        <w:rPr>
          <w:rFonts w:hint="eastAsia"/>
          <w:b/>
          <w:szCs w:val="21"/>
        </w:rPr>
        <w:t>二、收入类型</w:t>
      </w:r>
    </w:p>
    <w:p w14:paraId="6FFE0543">
      <w:pPr>
        <w:ind w:firstLine="420" w:firstLineChars="200"/>
        <w:rPr>
          <w:szCs w:val="21"/>
        </w:rPr>
      </w:pPr>
      <w:r>
        <w:rPr>
          <w:rFonts w:hint="eastAsia"/>
          <w:szCs w:val="21"/>
        </w:rPr>
        <w:t>组织的收入主要包括捐赠收入、会费收入、提供服务收入、政府补助收入、投资收益、商品销售收入等主要业务活动收入和其他收入等。根据付款方对资金使用上的限制，收入分为限定性收入和非限定性收入。</w:t>
      </w:r>
    </w:p>
    <w:p w14:paraId="527ED267">
      <w:pPr>
        <w:rPr>
          <w:b/>
          <w:szCs w:val="21"/>
        </w:rPr>
      </w:pPr>
      <w:r>
        <w:rPr>
          <w:rFonts w:hint="eastAsia"/>
          <w:b/>
          <w:szCs w:val="21"/>
        </w:rPr>
        <w:t>三、收入确认</w:t>
      </w:r>
    </w:p>
    <w:p w14:paraId="2A0990CA">
      <w:pPr>
        <w:ind w:firstLine="420" w:firstLineChars="200"/>
        <w:rPr>
          <w:szCs w:val="21"/>
        </w:rPr>
      </w:pPr>
      <w:r>
        <w:rPr>
          <w:rFonts w:hint="eastAsia"/>
          <w:szCs w:val="21"/>
        </w:rPr>
        <w:t>收入的确认遵循“权责发生制”的原则。为核算简便，如果项目是在一个财政年度内的，对应的收款则一次性全部确认为收入；如果项目是跨财政年度的，对应的收款则根据项目的进度分期确认收入。</w:t>
      </w:r>
    </w:p>
    <w:p w14:paraId="56C1BD39">
      <w:pPr>
        <w:rPr>
          <w:b/>
          <w:szCs w:val="21"/>
        </w:rPr>
      </w:pPr>
      <w:r>
        <w:rPr>
          <w:rFonts w:hint="eastAsia"/>
          <w:b/>
          <w:szCs w:val="21"/>
        </w:rPr>
        <w:t>四、收款流程</w:t>
      </w:r>
    </w:p>
    <w:p w14:paraId="4344ED14">
      <w:pPr>
        <w:rPr>
          <w:szCs w:val="21"/>
        </w:rPr>
      </w:pPr>
      <w:r>
        <w:rPr>
          <w:rFonts w:hint="eastAsia"/>
          <w:szCs w:val="21"/>
        </w:rPr>
        <w:t>1.收到款项后，出纳应及时登记收款，并开具收款票据给付款人。</w:t>
      </w:r>
    </w:p>
    <w:p w14:paraId="67685620">
      <w:pPr>
        <w:rPr>
          <w:szCs w:val="21"/>
        </w:rPr>
      </w:pPr>
      <w:r>
        <w:rPr>
          <w:rFonts w:hint="eastAsia"/>
          <w:szCs w:val="21"/>
        </w:rPr>
        <w:t>2.接收捐赠收入开具财政部门监制的捐赠票据，接收提供服务收入开具税务部门监制的发票。票据使用方法参照财税部门相关规定执行。</w:t>
      </w:r>
    </w:p>
    <w:p w14:paraId="3421BFF6">
      <w:pPr>
        <w:rPr>
          <w:szCs w:val="21"/>
        </w:rPr>
      </w:pPr>
      <w:r>
        <w:rPr>
          <w:rFonts w:hint="eastAsia"/>
          <w:szCs w:val="21"/>
        </w:rPr>
        <w:t>3.财务主管于每月末审核票据的使用情况。</w:t>
      </w:r>
    </w:p>
    <w:p w14:paraId="5B0814F1">
      <w:pPr>
        <w:pStyle w:val="2"/>
        <w:spacing w:line="240" w:lineRule="auto"/>
        <w:jc w:val="center"/>
      </w:pPr>
      <w:bookmarkStart w:id="4" w:name="_Toc320197021"/>
      <w:bookmarkStart w:id="5" w:name="_Toc235526477"/>
      <w:r>
        <w:br w:type="page"/>
      </w:r>
      <w:r>
        <w:rPr>
          <w:rFonts w:hint="eastAsia"/>
        </w:rPr>
        <w:t>第三章 支出管理</w:t>
      </w:r>
      <w:bookmarkEnd w:id="4"/>
      <w:bookmarkEnd w:id="5"/>
    </w:p>
    <w:p w14:paraId="1683B09C">
      <w:pPr>
        <w:rPr>
          <w:rFonts w:ascii="宋体" w:hAnsi="宋体"/>
          <w:b/>
          <w:szCs w:val="21"/>
        </w:rPr>
      </w:pPr>
      <w:r>
        <w:rPr>
          <w:rFonts w:hint="eastAsia" w:ascii="宋体" w:hAnsi="宋体"/>
          <w:b/>
          <w:szCs w:val="21"/>
        </w:rPr>
        <w:t>一、总则</w:t>
      </w:r>
    </w:p>
    <w:p w14:paraId="65703616">
      <w:pPr>
        <w:rPr>
          <w:rFonts w:ascii="宋体" w:hAnsi="宋体"/>
          <w:szCs w:val="21"/>
        </w:rPr>
      </w:pPr>
      <w:r>
        <w:rPr>
          <w:rFonts w:hint="eastAsia" w:ascii="宋体" w:hAnsi="宋体"/>
          <w:szCs w:val="21"/>
        </w:rPr>
        <w:t>1.为了规范组织对支出的内部控制，保证支出有效、及时、准确，制定本规范。</w:t>
      </w:r>
    </w:p>
    <w:p w14:paraId="74E32AC7">
      <w:pPr>
        <w:rPr>
          <w:rFonts w:ascii="宋体" w:hAnsi="宋体"/>
          <w:szCs w:val="21"/>
        </w:rPr>
      </w:pPr>
      <w:r>
        <w:rPr>
          <w:rFonts w:hint="eastAsia" w:ascii="宋体" w:hAnsi="宋体"/>
          <w:szCs w:val="21"/>
        </w:rPr>
        <w:t>2.本规范将包括如下内容：支出类型、报销标准、支出申请审批流程及时间、票据规范。</w:t>
      </w:r>
    </w:p>
    <w:p w14:paraId="59BF7564">
      <w:pPr>
        <w:rPr>
          <w:rFonts w:ascii="宋体" w:hAnsi="宋体"/>
          <w:b/>
          <w:szCs w:val="21"/>
        </w:rPr>
      </w:pPr>
      <w:r>
        <w:rPr>
          <w:rFonts w:hint="eastAsia" w:ascii="宋体" w:hAnsi="宋体"/>
          <w:b/>
          <w:szCs w:val="21"/>
        </w:rPr>
        <w:t>二、支出类型</w:t>
      </w:r>
    </w:p>
    <w:p w14:paraId="45E260C7">
      <w:pPr>
        <w:ind w:firstLine="420" w:firstLineChars="200"/>
        <w:rPr>
          <w:rFonts w:ascii="宋体" w:hAnsi="宋体"/>
          <w:szCs w:val="21"/>
        </w:rPr>
      </w:pPr>
      <w:r>
        <w:rPr>
          <w:rFonts w:hint="eastAsia" w:ascii="宋体" w:hAnsi="宋体"/>
          <w:szCs w:val="21"/>
        </w:rPr>
        <w:t>组织的日常支出包括</w:t>
      </w:r>
      <w:r>
        <w:rPr>
          <w:rFonts w:hint="eastAsia" w:ascii="宋体" w:hAnsi="宋体"/>
          <w:szCs w:val="21"/>
          <w:u w:val="single"/>
        </w:rPr>
        <w:t>固定资产及办公用品采购、工资及办公室固定支出、市内交通费、市内餐补、手机费、市外交通费、市外住宿费、市外餐补、业务招待费、其他项目支出</w:t>
      </w:r>
      <w:r>
        <w:rPr>
          <w:rFonts w:hint="eastAsia" w:ascii="宋体" w:hAnsi="宋体"/>
          <w:szCs w:val="21"/>
        </w:rPr>
        <w:t>等等。</w:t>
      </w:r>
    </w:p>
    <w:p w14:paraId="0C92FECA">
      <w:pPr>
        <w:rPr>
          <w:rFonts w:ascii="宋体" w:hAnsi="宋体"/>
          <w:b/>
          <w:szCs w:val="21"/>
        </w:rPr>
      </w:pPr>
      <w:r>
        <w:rPr>
          <w:rFonts w:hint="eastAsia" w:ascii="宋体" w:hAnsi="宋体"/>
          <w:b/>
          <w:szCs w:val="21"/>
        </w:rPr>
        <w:t>三、报销标准</w:t>
      </w:r>
    </w:p>
    <w:p w14:paraId="4687FCA8">
      <w:pPr>
        <w:rPr>
          <w:rFonts w:ascii="宋体" w:hAnsi="宋体"/>
          <w:szCs w:val="21"/>
        </w:rPr>
      </w:pPr>
      <w:r>
        <w:rPr>
          <w:rFonts w:hint="eastAsia" w:ascii="宋体" w:hAnsi="宋体"/>
          <w:szCs w:val="21"/>
        </w:rPr>
        <w:t>1.固定资产及办公用品采购</w:t>
      </w:r>
    </w:p>
    <w:p w14:paraId="236202EF">
      <w:pPr>
        <w:ind w:firstLine="420" w:firstLineChars="200"/>
        <w:rPr>
          <w:rFonts w:ascii="宋体" w:hAnsi="宋体"/>
          <w:szCs w:val="21"/>
        </w:rPr>
      </w:pPr>
      <w:r>
        <w:rPr>
          <w:rFonts w:hint="eastAsia" w:ascii="宋体" w:hAnsi="宋体"/>
          <w:szCs w:val="21"/>
        </w:rPr>
        <w:t>初次采购，应货比三家后，挑选出最佳供应商。与最佳供应商建立起长期的合作关系之后，可省去货比三家。采购金额超过</w:t>
      </w:r>
      <w:r>
        <w:rPr>
          <w:rFonts w:hint="eastAsia" w:ascii="宋体" w:hAnsi="宋体"/>
          <w:szCs w:val="21"/>
          <w:u w:val="single"/>
        </w:rPr>
        <w:t>100</w:t>
      </w:r>
      <w:r>
        <w:rPr>
          <w:rFonts w:hint="eastAsia" w:ascii="宋体" w:hAnsi="宋体"/>
          <w:szCs w:val="21"/>
        </w:rPr>
        <w:t>元的，应事先征求秘书长的口头同意，或申请借款。</w:t>
      </w:r>
    </w:p>
    <w:p w14:paraId="45983C42">
      <w:pPr>
        <w:rPr>
          <w:rFonts w:ascii="宋体" w:hAnsi="宋体"/>
          <w:szCs w:val="21"/>
        </w:rPr>
      </w:pPr>
      <w:r>
        <w:rPr>
          <w:rFonts w:hint="eastAsia" w:ascii="宋体" w:hAnsi="宋体"/>
          <w:szCs w:val="21"/>
        </w:rPr>
        <w:t>2.工资及办公固定支出</w:t>
      </w:r>
    </w:p>
    <w:p w14:paraId="4A683156">
      <w:pPr>
        <w:ind w:firstLine="420" w:firstLineChars="200"/>
        <w:rPr>
          <w:rFonts w:ascii="宋体" w:hAnsi="宋体"/>
          <w:szCs w:val="21"/>
        </w:rPr>
      </w:pPr>
      <w:r>
        <w:rPr>
          <w:rFonts w:hint="eastAsia" w:ascii="宋体" w:hAnsi="宋体"/>
          <w:szCs w:val="21"/>
        </w:rPr>
        <w:t>办公固定支出指</w:t>
      </w:r>
      <w:r>
        <w:rPr>
          <w:rFonts w:hint="eastAsia" w:ascii="宋体" w:hAnsi="宋体"/>
          <w:szCs w:val="21"/>
          <w:u w:val="single"/>
        </w:rPr>
        <w:t>房租、水电气、座机费</w:t>
      </w:r>
      <w:r>
        <w:rPr>
          <w:rFonts w:hint="eastAsia" w:ascii="宋体" w:hAnsi="宋体"/>
          <w:szCs w:val="21"/>
        </w:rPr>
        <w:t>等等。工资及办公固定支出，须经秘书长首次确认，例如聘用合同、房租合同等。</w:t>
      </w:r>
    </w:p>
    <w:p w14:paraId="39E29405">
      <w:pPr>
        <w:rPr>
          <w:rFonts w:ascii="宋体" w:hAnsi="宋体"/>
          <w:szCs w:val="21"/>
        </w:rPr>
      </w:pPr>
      <w:r>
        <w:rPr>
          <w:rFonts w:hint="eastAsia" w:ascii="宋体" w:hAnsi="宋体"/>
          <w:szCs w:val="21"/>
        </w:rPr>
        <w:t>3.市内交通费</w:t>
      </w:r>
    </w:p>
    <w:p w14:paraId="33A82F52">
      <w:pPr>
        <w:rPr>
          <w:rFonts w:ascii="宋体" w:hAnsi="宋体"/>
          <w:szCs w:val="21"/>
        </w:rPr>
      </w:pPr>
      <w:r>
        <w:rPr>
          <w:rFonts w:hint="eastAsia" w:ascii="宋体" w:hAnsi="宋体"/>
          <w:szCs w:val="21"/>
        </w:rPr>
        <w:t>3.1 公共交通费或打车费</w:t>
      </w:r>
    </w:p>
    <w:p w14:paraId="12BF13B6">
      <w:pPr>
        <w:ind w:firstLine="420" w:firstLineChars="200"/>
        <w:rPr>
          <w:rFonts w:ascii="宋体" w:hAnsi="宋体"/>
          <w:szCs w:val="21"/>
        </w:rPr>
      </w:pPr>
      <w:r>
        <w:rPr>
          <w:rFonts w:hint="eastAsia" w:ascii="宋体" w:hAnsi="宋体"/>
          <w:szCs w:val="21"/>
        </w:rPr>
        <w:t>员工因公外出，如果有公车或地铁到达，则应乘坐公车或地铁。如果没有，则可以打车。如果路途较远，则考虑先坐一段公车或地铁，再打车。一般一次打车费不得超过</w:t>
      </w:r>
      <w:r>
        <w:rPr>
          <w:rFonts w:hint="eastAsia" w:ascii="宋体" w:hAnsi="宋体"/>
          <w:szCs w:val="21"/>
          <w:u w:val="single"/>
        </w:rPr>
        <w:t>20</w:t>
      </w:r>
      <w:r>
        <w:rPr>
          <w:rFonts w:hint="eastAsia" w:ascii="宋体" w:hAnsi="宋体"/>
          <w:szCs w:val="21"/>
        </w:rPr>
        <w:t>元。如因特殊情况超额，请在票后注明原因。员工因公加班，</w:t>
      </w:r>
      <w:r>
        <w:rPr>
          <w:rFonts w:hint="eastAsia" w:ascii="宋体" w:hAnsi="宋体"/>
          <w:b/>
          <w:szCs w:val="21"/>
          <w:u w:val="single"/>
        </w:rPr>
        <w:t>21:00</w:t>
      </w:r>
      <w:r>
        <w:rPr>
          <w:rFonts w:hint="eastAsia" w:ascii="宋体" w:hAnsi="宋体"/>
          <w:b/>
          <w:szCs w:val="21"/>
        </w:rPr>
        <w:t>以后可以打车</w:t>
      </w:r>
      <w:r>
        <w:rPr>
          <w:rFonts w:hint="eastAsia" w:ascii="宋体" w:hAnsi="宋体"/>
          <w:szCs w:val="21"/>
        </w:rPr>
        <w:t>。鼓励先乘坐公交或地铁到较近的站，再打车。</w:t>
      </w:r>
    </w:p>
    <w:p w14:paraId="69043DDB">
      <w:pPr>
        <w:ind w:firstLine="420" w:firstLineChars="200"/>
      </w:pPr>
      <w:r>
        <w:rPr>
          <w:rFonts w:hint="eastAsia"/>
        </w:rPr>
        <w:t>为节约和方便起见，乘坐市内公共交通（公交车及地铁）时鼓励使用市政交通一卡通结算，凭一卡通充值发票报销。</w:t>
      </w:r>
    </w:p>
    <w:p w14:paraId="5B030FF5">
      <w:pPr>
        <w:ind w:firstLine="420" w:firstLineChars="200"/>
        <w:rPr>
          <w:rFonts w:ascii="宋体" w:hAnsi="宋体"/>
          <w:szCs w:val="21"/>
        </w:rPr>
      </w:pPr>
      <w:r>
        <w:rPr>
          <w:rFonts w:hint="eastAsia"/>
        </w:rPr>
        <w:t>报销交通费时，应在发票背面注明“何时、何事、何地</w:t>
      </w:r>
      <w:r>
        <w:rPr>
          <w:rFonts w:hint="eastAsia" w:ascii="宋体" w:hAnsi="宋体"/>
          <w:szCs w:val="21"/>
        </w:rPr>
        <w:t>→何地</w:t>
      </w:r>
      <w:r>
        <w:rPr>
          <w:rFonts w:hint="eastAsia"/>
        </w:rPr>
        <w:t>”，超出标准的需要注明原因。</w:t>
      </w:r>
    </w:p>
    <w:p w14:paraId="6764C868">
      <w:pPr>
        <w:rPr>
          <w:rFonts w:ascii="宋体" w:hAnsi="宋体"/>
          <w:szCs w:val="21"/>
        </w:rPr>
      </w:pPr>
      <w:r>
        <w:rPr>
          <w:rFonts w:hint="eastAsia" w:ascii="宋体" w:hAnsi="宋体"/>
          <w:szCs w:val="21"/>
        </w:rPr>
        <w:t>3.2 汽油费</w:t>
      </w:r>
    </w:p>
    <w:p w14:paraId="1F491076">
      <w:pPr>
        <w:ind w:firstLine="420" w:firstLineChars="200"/>
        <w:rPr>
          <w:rFonts w:ascii="宋体" w:hAnsi="宋体"/>
          <w:szCs w:val="21"/>
        </w:rPr>
      </w:pPr>
      <w:r>
        <w:rPr>
          <w:rFonts w:hint="eastAsia" w:ascii="宋体" w:hAnsi="宋体"/>
          <w:szCs w:val="21"/>
        </w:rPr>
        <w:t>公车的汽油费，实报实销。私车的汽油费，则视同打车，请在票后按事项依次注明“何时,何事，何地→何地，金额”。</w:t>
      </w:r>
    </w:p>
    <w:p w14:paraId="1B875876">
      <w:pPr>
        <w:rPr>
          <w:rFonts w:ascii="宋体" w:hAnsi="宋体"/>
          <w:szCs w:val="21"/>
        </w:rPr>
      </w:pPr>
      <w:r>
        <w:rPr>
          <w:rFonts w:hint="eastAsia" w:ascii="宋体" w:hAnsi="宋体"/>
          <w:szCs w:val="21"/>
        </w:rPr>
        <w:t>4.市内餐补</w:t>
      </w:r>
    </w:p>
    <w:p w14:paraId="496E4353">
      <w:pPr>
        <w:rPr>
          <w:rFonts w:ascii="宋体" w:hAnsi="宋体"/>
          <w:szCs w:val="21"/>
        </w:rPr>
      </w:pPr>
      <w:r>
        <w:rPr>
          <w:rFonts w:hint="eastAsia" w:ascii="宋体" w:hAnsi="宋体"/>
          <w:szCs w:val="21"/>
        </w:rPr>
        <w:t>4.1 加班餐补</w:t>
      </w:r>
    </w:p>
    <w:p w14:paraId="4E6D5C78">
      <w:pPr>
        <w:ind w:firstLine="420" w:firstLineChars="200"/>
        <w:rPr>
          <w:rFonts w:ascii="宋体" w:hAnsi="宋体"/>
          <w:szCs w:val="21"/>
        </w:rPr>
      </w:pPr>
      <w:r>
        <w:rPr>
          <w:rFonts w:hint="eastAsia" w:ascii="宋体" w:hAnsi="宋体"/>
          <w:szCs w:val="21"/>
        </w:rPr>
        <w:t>员工因公加班，可享受</w:t>
      </w:r>
      <w:r>
        <w:rPr>
          <w:rFonts w:hint="eastAsia" w:ascii="宋体" w:hAnsi="宋体"/>
          <w:szCs w:val="21"/>
          <w:u w:val="single"/>
        </w:rPr>
        <w:t>25</w:t>
      </w:r>
      <w:r>
        <w:rPr>
          <w:rFonts w:hint="eastAsia" w:ascii="宋体" w:hAnsi="宋体"/>
          <w:szCs w:val="21"/>
        </w:rPr>
        <w:t>元/餐的加班餐补，请在票后注明“何时,何事，加班”。</w:t>
      </w:r>
    </w:p>
    <w:p w14:paraId="2C413467">
      <w:pPr>
        <w:rPr>
          <w:rFonts w:ascii="宋体" w:hAnsi="宋体"/>
          <w:szCs w:val="21"/>
        </w:rPr>
      </w:pPr>
      <w:r>
        <w:rPr>
          <w:rFonts w:hint="eastAsia" w:ascii="宋体" w:hAnsi="宋体"/>
          <w:szCs w:val="21"/>
        </w:rPr>
        <w:t>5.市外交通费</w:t>
      </w:r>
    </w:p>
    <w:p w14:paraId="04A4AED3">
      <w:pPr>
        <w:ind w:firstLine="420" w:firstLineChars="200"/>
        <w:rPr>
          <w:rFonts w:ascii="宋体" w:hAnsi="宋体"/>
          <w:szCs w:val="21"/>
        </w:rPr>
      </w:pPr>
      <w:r>
        <w:rPr>
          <w:rFonts w:hint="eastAsia" w:ascii="宋体" w:hAnsi="宋体"/>
          <w:szCs w:val="21"/>
        </w:rPr>
        <w:t>员工因公出差，应尽量乘坐火车、长途汽车或者价格相近的打折机票经济舱。乘坐火车时，如果不在火车上过夜，则乘坐硬座（注：或高铁、动车组二等座）；如果在火车上过夜，可以乘坐硬卧。如因特殊情况，可申请乘坐飞机经济舱，请在票后注明原因。员工因公出差，应事先征得秘书长的口头同意，或申请借款。</w:t>
      </w:r>
    </w:p>
    <w:p w14:paraId="34BC9B59">
      <w:pPr>
        <w:rPr>
          <w:rFonts w:ascii="宋体" w:hAnsi="宋体"/>
          <w:szCs w:val="21"/>
        </w:rPr>
      </w:pPr>
      <w:r>
        <w:rPr>
          <w:rFonts w:hint="eastAsia" w:ascii="宋体" w:hAnsi="宋体"/>
          <w:szCs w:val="21"/>
        </w:rPr>
        <w:t>6.市外住宿费</w:t>
      </w:r>
    </w:p>
    <w:p w14:paraId="6A23934B">
      <w:pPr>
        <w:ind w:firstLine="420" w:firstLineChars="200"/>
        <w:rPr>
          <w:rFonts w:ascii="宋体" w:hAnsi="宋体"/>
          <w:szCs w:val="21"/>
          <w:u w:val="single"/>
        </w:rPr>
      </w:pPr>
      <w:r>
        <w:rPr>
          <w:rFonts w:hint="eastAsia" w:ascii="宋体" w:hAnsi="宋体"/>
          <w:szCs w:val="21"/>
        </w:rPr>
        <w:t>员工因公出差，</w:t>
      </w:r>
      <w:r>
        <w:rPr>
          <w:rFonts w:hint="eastAsia" w:ascii="宋体" w:hAnsi="宋体"/>
          <w:szCs w:val="21"/>
          <w:u w:val="single"/>
        </w:rPr>
        <w:t>住宿费按照出差地点具体安排：每房每天在上海、广州等高消费大城市，不超过250元；在成都等省会城市，不超过200元；在广元、鞍山等地级市，不超过160元。</w:t>
      </w:r>
    </w:p>
    <w:p w14:paraId="5A293DCE">
      <w:pPr>
        <w:rPr>
          <w:rFonts w:ascii="宋体" w:hAnsi="宋体"/>
          <w:szCs w:val="21"/>
        </w:rPr>
      </w:pPr>
      <w:r>
        <w:rPr>
          <w:rFonts w:hint="eastAsia" w:ascii="宋体" w:hAnsi="宋体"/>
          <w:szCs w:val="21"/>
        </w:rPr>
        <w:t>7.市外餐补</w:t>
      </w:r>
    </w:p>
    <w:p w14:paraId="04AD3B30">
      <w:pPr>
        <w:ind w:firstLine="420" w:firstLineChars="200"/>
        <w:rPr>
          <w:rFonts w:ascii="宋体" w:hAnsi="宋体"/>
          <w:szCs w:val="21"/>
        </w:rPr>
      </w:pPr>
      <w:r>
        <w:rPr>
          <w:rFonts w:hint="eastAsia" w:ascii="宋体" w:hAnsi="宋体"/>
          <w:szCs w:val="21"/>
        </w:rPr>
        <w:t>员工因公出差，享受</w:t>
      </w:r>
      <w:r>
        <w:rPr>
          <w:rFonts w:hint="eastAsia" w:ascii="宋体" w:hAnsi="宋体"/>
          <w:szCs w:val="21"/>
          <w:u w:val="single"/>
        </w:rPr>
        <w:t>100</w:t>
      </w:r>
      <w:r>
        <w:rPr>
          <w:rFonts w:hint="eastAsia" w:ascii="宋体" w:hAnsi="宋体"/>
          <w:szCs w:val="21"/>
        </w:rPr>
        <w:t>元/天的餐补（注：国外出差享受</w:t>
      </w:r>
      <w:r>
        <w:rPr>
          <w:rFonts w:hint="eastAsia" w:ascii="宋体" w:hAnsi="宋体"/>
          <w:szCs w:val="21"/>
          <w:u w:val="single"/>
        </w:rPr>
        <w:t>300</w:t>
      </w:r>
      <w:r>
        <w:rPr>
          <w:rFonts w:hint="eastAsia" w:ascii="宋体" w:hAnsi="宋体"/>
          <w:szCs w:val="21"/>
        </w:rPr>
        <w:t>元/天的餐补）。出差期间，不得同时享受市内餐补。（注：差旅中飞机、会议等提供餐食或用公务招待餐的，相应餐次应当在餐补中扣除）</w:t>
      </w:r>
    </w:p>
    <w:p w14:paraId="07C499D3">
      <w:pPr>
        <w:rPr>
          <w:rFonts w:ascii="宋体" w:hAnsi="宋体"/>
          <w:szCs w:val="21"/>
        </w:rPr>
      </w:pPr>
      <w:r>
        <w:rPr>
          <w:rFonts w:hint="eastAsia" w:ascii="宋体" w:hAnsi="宋体"/>
          <w:szCs w:val="21"/>
        </w:rPr>
        <w:t>8.业务招待费</w:t>
      </w:r>
    </w:p>
    <w:p w14:paraId="3CEB5447">
      <w:pPr>
        <w:ind w:firstLine="420" w:firstLineChars="200"/>
        <w:rPr>
          <w:rFonts w:ascii="宋体" w:hAnsi="宋体"/>
          <w:szCs w:val="21"/>
        </w:rPr>
      </w:pPr>
      <w:r>
        <w:rPr>
          <w:rFonts w:hint="eastAsia" w:ascii="宋体" w:hAnsi="宋体"/>
          <w:szCs w:val="21"/>
        </w:rPr>
        <w:t>员工在日常工作对外接触中，招待外部人员包括</w:t>
      </w:r>
      <w:r>
        <w:rPr>
          <w:rFonts w:hint="eastAsia" w:ascii="宋体" w:hAnsi="宋体"/>
          <w:szCs w:val="21"/>
          <w:u w:val="single"/>
        </w:rPr>
        <w:t>政府人员、捐赠人、志愿者、合作方</w:t>
      </w:r>
      <w:r>
        <w:rPr>
          <w:rFonts w:hint="eastAsia" w:ascii="宋体" w:hAnsi="宋体"/>
          <w:szCs w:val="21"/>
        </w:rPr>
        <w:t>等，应本着必须、从简、合理的原则，招待标准为</w:t>
      </w:r>
      <w:r>
        <w:rPr>
          <w:rFonts w:hint="eastAsia" w:ascii="宋体" w:hAnsi="宋体"/>
          <w:szCs w:val="21"/>
          <w:u w:val="single"/>
        </w:rPr>
        <w:t>50</w:t>
      </w:r>
      <w:r>
        <w:rPr>
          <w:rFonts w:hint="eastAsia" w:ascii="宋体" w:hAnsi="宋体"/>
          <w:szCs w:val="21"/>
        </w:rPr>
        <w:t>元/人/次。请在票后注明“何时,何事，何人”。如因特殊情况超额，请在票后注明原因。</w:t>
      </w:r>
    </w:p>
    <w:p w14:paraId="39AD91D3">
      <w:pPr>
        <w:rPr>
          <w:rFonts w:ascii="宋体" w:hAnsi="宋体"/>
          <w:szCs w:val="21"/>
        </w:rPr>
      </w:pPr>
      <w:r>
        <w:rPr>
          <w:rFonts w:hint="eastAsia" w:ascii="宋体" w:hAnsi="宋体"/>
          <w:szCs w:val="21"/>
        </w:rPr>
        <w:t>9.其他项目支出</w:t>
      </w:r>
    </w:p>
    <w:p w14:paraId="16A23579">
      <w:pPr>
        <w:ind w:firstLine="420" w:firstLineChars="200"/>
        <w:rPr>
          <w:rFonts w:ascii="宋体" w:hAnsi="宋体"/>
          <w:szCs w:val="21"/>
        </w:rPr>
      </w:pPr>
      <w:r>
        <w:rPr>
          <w:rFonts w:hint="eastAsia" w:ascii="宋体" w:hAnsi="宋体"/>
          <w:szCs w:val="21"/>
        </w:rPr>
        <w:t>因项目不同，除上述常规支出外，还有一些其他的项目支出，例如服务费、制作费等等。这些支出需参照“项目预算”进行审批。累计发票需加注明细。</w:t>
      </w:r>
    </w:p>
    <w:p w14:paraId="5357A2B3">
      <w:pPr>
        <w:rPr>
          <w:rFonts w:ascii="宋体" w:hAnsi="宋体"/>
          <w:b/>
          <w:szCs w:val="21"/>
        </w:rPr>
      </w:pPr>
      <w:r>
        <w:rPr>
          <w:rFonts w:hint="eastAsia" w:ascii="宋体" w:hAnsi="宋体"/>
          <w:b/>
          <w:szCs w:val="21"/>
        </w:rPr>
        <w:t>四、支付流程</w:t>
      </w:r>
    </w:p>
    <w:p w14:paraId="49ACB6A4">
      <w:pPr>
        <w:rPr>
          <w:rFonts w:ascii="宋体" w:hAnsi="宋体"/>
          <w:szCs w:val="21"/>
        </w:rPr>
      </w:pPr>
      <w:r>
        <w:rPr>
          <w:rFonts w:hint="eastAsia" w:ascii="宋体" w:hAnsi="宋体"/>
          <w:szCs w:val="21"/>
        </w:rPr>
        <w:t>1.员工支出申请：申请人需真实、准确、完整的填写《支出申请单》上的信息，经部门主管审核、财务部审核、秘书长审批，</w:t>
      </w:r>
      <w:r>
        <w:rPr>
          <w:rFonts w:hint="eastAsia" w:ascii="宋体" w:hAnsi="宋体"/>
          <w:szCs w:val="21"/>
          <w:u w:val="single"/>
        </w:rPr>
        <w:t>出纳</w:t>
      </w:r>
      <w:r>
        <w:rPr>
          <w:rFonts w:hint="eastAsia" w:ascii="宋体" w:hAnsi="宋体"/>
          <w:szCs w:val="21"/>
        </w:rPr>
        <w:t>复核后付款。</w:t>
      </w:r>
    </w:p>
    <w:p w14:paraId="11910F5E">
      <w:pPr>
        <w:rPr>
          <w:rFonts w:ascii="宋体" w:hAnsi="宋体"/>
          <w:szCs w:val="21"/>
        </w:rPr>
      </w:pPr>
      <w:r>
        <w:rPr>
          <w:rFonts w:hint="eastAsia" w:ascii="宋体" w:hAnsi="宋体"/>
          <w:szCs w:val="21"/>
        </w:rPr>
        <w:t>2.固定支出、履行协议支出、非一次性支出，如固定电话费、银行代扣的职工社会保险等费用、已经计提的税金、订立合同的债务、同一资助对象已经完成额度审批手续（注：包含个案定向募捐或托管款项到账）但需分次且及时发放的资助款，由相应业务部门填写《支出申请单》，凭秘书长授权加盖基金会公章的合同或业务凭单，或者秘书长签批的文件，经财务主管复核签字后办理付款或银行代扣手续。财务部需留存要件请示纸备档。</w:t>
      </w:r>
    </w:p>
    <w:p w14:paraId="5DE4C65A">
      <w:pPr>
        <w:rPr>
          <w:rFonts w:ascii="宋体" w:hAnsi="宋体"/>
          <w:b/>
          <w:szCs w:val="21"/>
        </w:rPr>
      </w:pPr>
      <w:r>
        <w:rPr>
          <w:rFonts w:hint="eastAsia" w:ascii="宋体" w:hAnsi="宋体"/>
          <w:b/>
          <w:szCs w:val="21"/>
        </w:rPr>
        <w:t>五、票据规范</w:t>
      </w:r>
    </w:p>
    <w:p w14:paraId="52117DD1">
      <w:pPr>
        <w:ind w:firstLine="420" w:firstLineChars="200"/>
        <w:rPr>
          <w:rFonts w:ascii="宋体" w:hAnsi="宋体"/>
          <w:szCs w:val="21"/>
        </w:rPr>
      </w:pPr>
      <w:r>
        <w:rPr>
          <w:rFonts w:hint="eastAsia" w:ascii="宋体" w:hAnsi="宋体"/>
          <w:szCs w:val="21"/>
        </w:rPr>
        <w:t>支出申请人或经办人需提供合法合规的发票。报销时，发票应粘附在《支出申请单》后；预借款项时，业务办结后需提交发票，经出纳复核后确认支出并结清款项。</w:t>
      </w:r>
    </w:p>
    <w:p w14:paraId="28A32D22">
      <w:pPr>
        <w:ind w:firstLine="420" w:firstLineChars="200"/>
        <w:rPr>
          <w:rFonts w:ascii="宋体" w:hAnsi="宋体"/>
          <w:szCs w:val="21"/>
        </w:rPr>
      </w:pPr>
      <w:r>
        <w:rPr>
          <w:rFonts w:ascii="宋体" w:hAnsi="宋体"/>
          <w:szCs w:val="21"/>
        </w:rPr>
        <w:t>按照会计准则，</w:t>
      </w:r>
      <w:r>
        <w:rPr>
          <w:rFonts w:hint="eastAsia" w:ascii="宋体" w:hAnsi="宋体"/>
          <w:szCs w:val="21"/>
        </w:rPr>
        <w:t>未提交原始</w:t>
      </w:r>
      <w:r>
        <w:rPr>
          <w:rFonts w:ascii="宋体" w:hAnsi="宋体"/>
          <w:szCs w:val="21"/>
        </w:rPr>
        <w:t>凭证核销的支出项列为其他应收款，</w:t>
      </w:r>
      <w:r>
        <w:rPr>
          <w:rFonts w:hint="eastAsia" w:ascii="宋体" w:hAnsi="宋体"/>
          <w:szCs w:val="21"/>
        </w:rPr>
        <w:t>并按照账龄计提</w:t>
      </w:r>
      <w:r>
        <w:rPr>
          <w:rFonts w:ascii="宋体" w:hAnsi="宋体"/>
          <w:szCs w:val="21"/>
        </w:rPr>
        <w:t>坏账准备。</w:t>
      </w:r>
      <w:r>
        <w:rPr>
          <w:rFonts w:hint="eastAsia" w:ascii="宋体" w:hAnsi="宋体"/>
          <w:szCs w:val="21"/>
        </w:rPr>
        <w:t>不能收回的应收款项，经秘书长审批后，作为坏账损失，</w:t>
      </w:r>
      <w:r>
        <w:rPr>
          <w:rFonts w:ascii="宋体" w:hAnsi="宋体"/>
          <w:szCs w:val="21"/>
        </w:rPr>
        <w:t>计入管理费用。</w:t>
      </w:r>
    </w:p>
    <w:p w14:paraId="77316CCD">
      <w:pPr>
        <w:pStyle w:val="2"/>
        <w:spacing w:line="240" w:lineRule="auto"/>
        <w:jc w:val="center"/>
      </w:pPr>
      <w:bookmarkStart w:id="6" w:name="_Toc235526479"/>
      <w:bookmarkStart w:id="7" w:name="_Toc320197022"/>
      <w:r>
        <w:br w:type="page"/>
      </w:r>
      <w:r>
        <w:rPr>
          <w:rFonts w:hint="eastAsia"/>
        </w:rPr>
        <w:t>第四章 项目核算</w:t>
      </w:r>
      <w:bookmarkEnd w:id="6"/>
      <w:bookmarkEnd w:id="7"/>
    </w:p>
    <w:p w14:paraId="7E1BA21F">
      <w:pPr>
        <w:rPr>
          <w:rFonts w:ascii="宋体" w:hAnsi="宋体"/>
          <w:b/>
          <w:szCs w:val="21"/>
        </w:rPr>
      </w:pPr>
      <w:r>
        <w:rPr>
          <w:rFonts w:hint="eastAsia" w:ascii="宋体" w:hAnsi="宋体"/>
          <w:b/>
          <w:szCs w:val="21"/>
        </w:rPr>
        <w:t>一、总则</w:t>
      </w:r>
    </w:p>
    <w:p w14:paraId="6B38D6AA">
      <w:pPr>
        <w:ind w:firstLine="420" w:firstLineChars="200"/>
        <w:rPr>
          <w:rFonts w:ascii="宋体" w:hAnsi="宋体"/>
          <w:szCs w:val="21"/>
        </w:rPr>
      </w:pPr>
      <w:r>
        <w:rPr>
          <w:rFonts w:hint="eastAsia" w:ascii="宋体" w:hAnsi="宋体"/>
          <w:szCs w:val="21"/>
        </w:rPr>
        <w:t>为了辅助组织的项目管理，为其提供财务数据方面的支持，财务按照项目进行辅助核算。为了规范组织对项目核算的内部控制，制定本规范。</w:t>
      </w:r>
    </w:p>
    <w:p w14:paraId="2EAED54D">
      <w:pPr>
        <w:rPr>
          <w:rFonts w:ascii="宋体" w:hAnsi="宋体"/>
          <w:b/>
          <w:szCs w:val="21"/>
        </w:rPr>
      </w:pPr>
      <w:r>
        <w:rPr>
          <w:rFonts w:hint="eastAsia" w:ascii="宋体" w:hAnsi="宋体"/>
          <w:b/>
          <w:szCs w:val="21"/>
        </w:rPr>
        <w:t>二、项目及费用科目的制定</w:t>
      </w:r>
    </w:p>
    <w:p w14:paraId="16B24B15">
      <w:pPr>
        <w:ind w:firstLine="420" w:firstLineChars="200"/>
        <w:rPr>
          <w:rFonts w:ascii="宋体" w:hAnsi="宋体"/>
          <w:szCs w:val="21"/>
        </w:rPr>
      </w:pPr>
      <w:r>
        <w:rPr>
          <w:rFonts w:hint="eastAsia" w:ascii="宋体" w:hAnsi="宋体"/>
          <w:szCs w:val="21"/>
        </w:rPr>
        <w:t>财务人员应当在与组织管理层充分沟通之后，制定《业务活动表》中报表科目项下的二级项目子科目及三级项目子科目。科目的制定应考虑到以下因素：</w:t>
      </w:r>
    </w:p>
    <w:p w14:paraId="7AD92CC1">
      <w:pPr>
        <w:rPr>
          <w:rFonts w:ascii="宋体" w:hAnsi="宋体"/>
          <w:szCs w:val="21"/>
        </w:rPr>
      </w:pPr>
      <w:r>
        <w:rPr>
          <w:rFonts w:hint="eastAsia" w:ascii="宋体" w:hAnsi="宋体"/>
          <w:szCs w:val="21"/>
        </w:rPr>
        <w:t>1.组织自身的业务发展</w:t>
      </w:r>
    </w:p>
    <w:p w14:paraId="6F08DC28">
      <w:pPr>
        <w:rPr>
          <w:rFonts w:ascii="宋体" w:hAnsi="宋体"/>
          <w:szCs w:val="21"/>
        </w:rPr>
      </w:pPr>
      <w:r>
        <w:rPr>
          <w:rFonts w:hint="eastAsia" w:ascii="宋体" w:hAnsi="宋体"/>
          <w:szCs w:val="21"/>
        </w:rPr>
        <w:t>2.管理层对财务数据的要求</w:t>
      </w:r>
    </w:p>
    <w:p w14:paraId="5473EA07">
      <w:pPr>
        <w:rPr>
          <w:rFonts w:ascii="宋体" w:hAnsi="宋体"/>
          <w:szCs w:val="21"/>
        </w:rPr>
      </w:pPr>
      <w:r>
        <w:rPr>
          <w:rFonts w:hint="eastAsia" w:ascii="宋体" w:hAnsi="宋体"/>
          <w:szCs w:val="21"/>
        </w:rPr>
        <w:t>3.捐赠方对财务数据的要求</w:t>
      </w:r>
    </w:p>
    <w:p w14:paraId="2AD2B7DC">
      <w:pPr>
        <w:rPr>
          <w:rFonts w:ascii="宋体" w:hAnsi="宋体"/>
          <w:szCs w:val="21"/>
        </w:rPr>
      </w:pPr>
      <w:r>
        <w:rPr>
          <w:rFonts w:hint="eastAsia" w:ascii="宋体" w:hAnsi="宋体"/>
          <w:szCs w:val="21"/>
        </w:rPr>
        <w:t>4.与预算的衔接</w:t>
      </w:r>
    </w:p>
    <w:p w14:paraId="1364AE5E">
      <w:pPr>
        <w:rPr>
          <w:rFonts w:ascii="宋体" w:hAnsi="宋体"/>
          <w:b/>
          <w:szCs w:val="21"/>
        </w:rPr>
      </w:pPr>
      <w:r>
        <w:rPr>
          <w:rFonts w:hint="eastAsia" w:ascii="宋体" w:hAnsi="宋体"/>
          <w:b/>
          <w:szCs w:val="21"/>
        </w:rPr>
        <w:t>三、项目核算的方法</w:t>
      </w:r>
    </w:p>
    <w:p w14:paraId="65B0B384">
      <w:pPr>
        <w:rPr>
          <w:rFonts w:ascii="宋体" w:hAnsi="宋体"/>
          <w:szCs w:val="21"/>
        </w:rPr>
      </w:pPr>
      <w:r>
        <w:rPr>
          <w:rFonts w:hint="eastAsia" w:ascii="宋体" w:hAnsi="宋体"/>
          <w:szCs w:val="21"/>
        </w:rPr>
        <w:t>1.直接项目费用</w:t>
      </w:r>
    </w:p>
    <w:p w14:paraId="18FE6C7C">
      <w:pPr>
        <w:ind w:firstLine="420" w:firstLineChars="200"/>
        <w:rPr>
          <w:rFonts w:ascii="宋体" w:hAnsi="宋体"/>
          <w:szCs w:val="21"/>
        </w:rPr>
      </w:pPr>
      <w:r>
        <w:rPr>
          <w:rFonts w:hint="eastAsia" w:ascii="宋体" w:hAnsi="宋体"/>
          <w:szCs w:val="21"/>
        </w:rPr>
        <w:t>直接项目费用是指费用因某一个项目而发生。例如，一次出差就是为了一个项目。</w:t>
      </w:r>
    </w:p>
    <w:p w14:paraId="3BD3ABD3">
      <w:pPr>
        <w:rPr>
          <w:rFonts w:ascii="宋体" w:hAnsi="宋体"/>
          <w:szCs w:val="21"/>
        </w:rPr>
      </w:pPr>
      <w:r>
        <w:rPr>
          <w:rFonts w:hint="eastAsia" w:ascii="宋体" w:hAnsi="宋体"/>
          <w:szCs w:val="21"/>
        </w:rPr>
        <w:t>2.间接项目费用</w:t>
      </w:r>
    </w:p>
    <w:p w14:paraId="137FAF54">
      <w:pPr>
        <w:ind w:firstLine="420" w:firstLineChars="200"/>
        <w:rPr>
          <w:rFonts w:ascii="宋体" w:hAnsi="宋体"/>
          <w:szCs w:val="21"/>
        </w:rPr>
      </w:pPr>
      <w:r>
        <w:rPr>
          <w:rFonts w:hint="eastAsia" w:ascii="宋体" w:hAnsi="宋体"/>
          <w:szCs w:val="21"/>
        </w:rPr>
        <w:t>间接项目费用是指费用因多个项目而发生，例如工资、房租等等。在这种情况下，费用就需要按照合理的比例分摊到项目中，例如工资可以按照从事各项目的工时、房租可以按照各项目的占地面积。分摊的方法和比例应当由财务人员与管理层协商确定。</w:t>
      </w:r>
    </w:p>
    <w:p w14:paraId="61945035">
      <w:pPr>
        <w:pStyle w:val="2"/>
        <w:spacing w:line="240" w:lineRule="auto"/>
        <w:jc w:val="center"/>
      </w:pPr>
      <w:bookmarkStart w:id="8" w:name="_Toc320197023"/>
      <w:bookmarkStart w:id="9" w:name="_Toc235526481"/>
      <w:r>
        <w:br w:type="page"/>
      </w:r>
      <w:r>
        <w:rPr>
          <w:rFonts w:hint="eastAsia"/>
        </w:rPr>
        <w:t>第五章 预算管理</w:t>
      </w:r>
      <w:bookmarkEnd w:id="8"/>
      <w:bookmarkEnd w:id="9"/>
    </w:p>
    <w:p w14:paraId="64D08E38">
      <w:pPr>
        <w:pStyle w:val="19"/>
        <w:rPr>
          <w:rFonts w:ascii="宋体" w:hAnsi="宋体" w:eastAsia="宋体"/>
          <w:b/>
          <w:color w:val="auto"/>
          <w:sz w:val="21"/>
          <w:szCs w:val="21"/>
          <w:lang w:eastAsia="zh-CN"/>
        </w:rPr>
      </w:pPr>
      <w:r>
        <w:rPr>
          <w:rFonts w:hint="eastAsia" w:ascii="宋体" w:hAnsi="宋体" w:eastAsia="宋体" w:cs="宋体"/>
          <w:b/>
          <w:color w:val="auto"/>
          <w:sz w:val="21"/>
          <w:szCs w:val="21"/>
          <w:lang w:eastAsia="zh-CN"/>
        </w:rPr>
        <w:t>一、总则</w:t>
      </w:r>
    </w:p>
    <w:p w14:paraId="45BCDABD">
      <w:pPr>
        <w:pStyle w:val="19"/>
        <w:rPr>
          <w:rFonts w:ascii="宋体" w:hAnsi="宋体" w:eastAsia="宋体"/>
          <w:color w:val="auto"/>
          <w:sz w:val="21"/>
          <w:szCs w:val="21"/>
          <w:lang w:eastAsia="zh-CN"/>
        </w:rPr>
      </w:pPr>
      <w:r>
        <w:rPr>
          <w:rFonts w:hint="eastAsia" w:ascii="宋体" w:hAnsi="宋体" w:eastAsia="宋体"/>
          <w:color w:val="auto"/>
          <w:sz w:val="21"/>
          <w:szCs w:val="21"/>
          <w:lang w:eastAsia="zh-CN"/>
        </w:rPr>
        <w:t>1.</w:t>
      </w:r>
      <w:r>
        <w:rPr>
          <w:rFonts w:hint="eastAsia" w:ascii="宋体" w:hAnsi="宋体" w:eastAsia="宋体" w:cs="宋体"/>
          <w:color w:val="auto"/>
          <w:sz w:val="21"/>
          <w:szCs w:val="21"/>
          <w:lang w:eastAsia="zh-CN"/>
        </w:rPr>
        <w:t>预算管理包括前期预算的编制、中期预算的控制及调整、后期预算与实际的差异分析并为下一次预算的制定提供宝贵经验。为了规范组织对预算管理的内部控制，制定本规范。</w:t>
      </w:r>
      <w:r>
        <w:rPr>
          <w:rFonts w:ascii="宋体" w:hAnsi="宋体" w:eastAsia="宋体"/>
          <w:color w:val="auto"/>
          <w:sz w:val="21"/>
          <w:szCs w:val="21"/>
          <w:lang w:eastAsia="zh-CN"/>
        </w:rPr>
        <w:t xml:space="preserve"> </w:t>
      </w:r>
    </w:p>
    <w:p w14:paraId="7A2611B7">
      <w:pPr>
        <w:pStyle w:val="19"/>
        <w:rPr>
          <w:rFonts w:ascii="宋体" w:hAnsi="宋体" w:eastAsia="宋体"/>
          <w:color w:val="auto"/>
          <w:sz w:val="21"/>
          <w:szCs w:val="21"/>
          <w:lang w:eastAsia="zh-CN"/>
        </w:rPr>
      </w:pPr>
      <w:r>
        <w:rPr>
          <w:rFonts w:hint="eastAsia" w:ascii="宋体" w:hAnsi="宋体" w:eastAsia="宋体"/>
          <w:color w:val="auto"/>
          <w:sz w:val="21"/>
          <w:szCs w:val="21"/>
          <w:lang w:eastAsia="zh-CN"/>
        </w:rPr>
        <w:t>2.</w:t>
      </w:r>
      <w:r>
        <w:rPr>
          <w:rFonts w:hint="eastAsia" w:ascii="宋体" w:hAnsi="宋体" w:eastAsia="宋体" w:cs="宋体"/>
          <w:color w:val="auto"/>
          <w:sz w:val="21"/>
          <w:szCs w:val="21"/>
          <w:lang w:eastAsia="zh-CN"/>
        </w:rPr>
        <w:t>本规范所指的预算包括两种，一种是组织整体年度预算、一种是项目预算。</w:t>
      </w:r>
      <w:r>
        <w:rPr>
          <w:rFonts w:ascii="宋体" w:hAnsi="宋体" w:eastAsia="宋体"/>
          <w:color w:val="auto"/>
          <w:sz w:val="21"/>
          <w:szCs w:val="21"/>
          <w:lang w:eastAsia="zh-CN"/>
        </w:rPr>
        <w:t xml:space="preserve"> </w:t>
      </w:r>
    </w:p>
    <w:p w14:paraId="1337CDD2">
      <w:pPr>
        <w:pStyle w:val="19"/>
        <w:rPr>
          <w:rFonts w:ascii="宋体" w:hAnsi="宋体" w:eastAsia="宋体"/>
          <w:b/>
          <w:color w:val="auto"/>
          <w:sz w:val="21"/>
          <w:szCs w:val="21"/>
          <w:lang w:eastAsia="zh-CN"/>
        </w:rPr>
      </w:pPr>
      <w:r>
        <w:rPr>
          <w:rFonts w:hint="eastAsia" w:ascii="宋体" w:hAnsi="宋体" w:eastAsia="宋体" w:cs="宋体"/>
          <w:b/>
          <w:color w:val="auto"/>
          <w:sz w:val="21"/>
          <w:szCs w:val="21"/>
          <w:lang w:eastAsia="zh-CN"/>
        </w:rPr>
        <w:t>二、前期预算的编制</w:t>
      </w:r>
      <w:r>
        <w:rPr>
          <w:rFonts w:ascii="宋体" w:hAnsi="宋体" w:eastAsia="宋体"/>
          <w:b/>
          <w:color w:val="auto"/>
          <w:sz w:val="21"/>
          <w:szCs w:val="21"/>
          <w:lang w:eastAsia="zh-CN"/>
        </w:rPr>
        <w:t xml:space="preserve"> </w:t>
      </w:r>
    </w:p>
    <w:p w14:paraId="5DE30AD3">
      <w:pPr>
        <w:pStyle w:val="19"/>
        <w:rPr>
          <w:rFonts w:ascii="宋体" w:hAnsi="宋体" w:eastAsia="宋体"/>
          <w:color w:val="auto"/>
          <w:sz w:val="21"/>
          <w:szCs w:val="21"/>
          <w:lang w:eastAsia="zh-CN"/>
        </w:rPr>
      </w:pPr>
      <w:r>
        <w:rPr>
          <w:rFonts w:hint="eastAsia" w:ascii="宋体" w:hAnsi="宋体" w:eastAsia="宋体"/>
          <w:color w:val="auto"/>
          <w:sz w:val="21"/>
          <w:szCs w:val="21"/>
          <w:lang w:eastAsia="zh-CN"/>
        </w:rPr>
        <w:t>1.</w:t>
      </w:r>
      <w:r>
        <w:rPr>
          <w:rFonts w:hint="eastAsia" w:ascii="宋体" w:hAnsi="宋体" w:eastAsia="宋体" w:cs="宋体"/>
          <w:color w:val="auto"/>
          <w:sz w:val="21"/>
          <w:szCs w:val="21"/>
          <w:lang w:eastAsia="zh-CN"/>
        </w:rPr>
        <w:t>年度预算的编制</w:t>
      </w:r>
      <w:r>
        <w:rPr>
          <w:rFonts w:ascii="宋体" w:hAnsi="宋体" w:eastAsia="宋体"/>
          <w:color w:val="auto"/>
          <w:sz w:val="21"/>
          <w:szCs w:val="21"/>
          <w:lang w:eastAsia="zh-CN"/>
        </w:rPr>
        <w:t xml:space="preserve"> </w:t>
      </w:r>
    </w:p>
    <w:p w14:paraId="2B9BF75A">
      <w:pPr>
        <w:pStyle w:val="19"/>
        <w:ind w:firstLine="420" w:firstLineChars="200"/>
        <w:rPr>
          <w:rFonts w:ascii="宋体" w:hAnsi="宋体" w:eastAsia="宋体"/>
          <w:color w:val="auto"/>
          <w:sz w:val="21"/>
          <w:szCs w:val="21"/>
          <w:lang w:eastAsia="zh-CN"/>
        </w:rPr>
      </w:pPr>
      <w:r>
        <w:rPr>
          <w:rFonts w:hint="eastAsia" w:ascii="宋体" w:hAnsi="宋体" w:eastAsia="宋体" w:cs="宋体"/>
          <w:color w:val="auto"/>
          <w:sz w:val="21"/>
          <w:szCs w:val="21"/>
          <w:lang w:eastAsia="zh-CN"/>
        </w:rPr>
        <w:t>组织于每年</w:t>
      </w:r>
      <w:r>
        <w:rPr>
          <w:rFonts w:hint="eastAsia" w:ascii="宋体" w:hAnsi="宋体" w:eastAsia="宋体" w:cs="Times New Roman"/>
          <w:color w:val="auto"/>
          <w:sz w:val="21"/>
          <w:szCs w:val="21"/>
          <w:u w:val="single"/>
          <w:lang w:eastAsia="zh-CN"/>
        </w:rPr>
        <w:t>2</w:t>
      </w:r>
      <w:r>
        <w:rPr>
          <w:rFonts w:hint="eastAsia" w:ascii="宋体" w:hAnsi="宋体" w:eastAsia="宋体" w:cs="宋体"/>
          <w:color w:val="auto"/>
          <w:sz w:val="21"/>
          <w:szCs w:val="21"/>
          <w:lang w:eastAsia="zh-CN"/>
        </w:rPr>
        <w:t>月之前编制完成组织整体本年的《年度预算》。组织《年度预算》的编制分为两部分，一部分是组织固定支出，例如全体人员的工资、房租等日常必须的支出，由财务部提供；另一部分是直接项目支出和其他弹性支出，这部分由各项目负责人和各部门负责人提供。此外，还包括预计的收款金额和进度，这部分由筹款人或者捐赠方提供。经财务部汇总并最终编制完成《年度预算》。</w:t>
      </w:r>
      <w:r>
        <w:rPr>
          <w:rFonts w:ascii="宋体" w:hAnsi="宋体" w:eastAsia="宋体"/>
          <w:color w:val="auto"/>
          <w:sz w:val="21"/>
          <w:szCs w:val="21"/>
          <w:lang w:eastAsia="zh-CN"/>
        </w:rPr>
        <w:t xml:space="preserve"> </w:t>
      </w:r>
    </w:p>
    <w:p w14:paraId="5EFBC10E">
      <w:pPr>
        <w:pStyle w:val="19"/>
        <w:rPr>
          <w:rFonts w:ascii="宋体" w:hAnsi="宋体" w:eastAsia="宋体"/>
          <w:color w:val="auto"/>
          <w:sz w:val="21"/>
          <w:szCs w:val="21"/>
          <w:lang w:eastAsia="zh-CN"/>
        </w:rPr>
      </w:pPr>
      <w:r>
        <w:rPr>
          <w:rFonts w:hint="eastAsia" w:ascii="宋体" w:hAnsi="宋体" w:eastAsia="宋体"/>
          <w:color w:val="auto"/>
          <w:sz w:val="21"/>
          <w:szCs w:val="21"/>
          <w:lang w:eastAsia="zh-CN"/>
        </w:rPr>
        <w:t>2.</w:t>
      </w:r>
      <w:r>
        <w:rPr>
          <w:rFonts w:hint="eastAsia" w:ascii="宋体" w:hAnsi="宋体" w:eastAsia="宋体" w:cs="宋体"/>
          <w:color w:val="auto"/>
          <w:sz w:val="21"/>
          <w:szCs w:val="21"/>
          <w:lang w:eastAsia="zh-CN"/>
        </w:rPr>
        <w:t>项目预算的编制</w:t>
      </w:r>
      <w:r>
        <w:rPr>
          <w:rFonts w:ascii="宋体" w:hAnsi="宋体" w:eastAsia="宋体"/>
          <w:color w:val="auto"/>
          <w:sz w:val="21"/>
          <w:szCs w:val="21"/>
          <w:lang w:eastAsia="zh-CN"/>
        </w:rPr>
        <w:t xml:space="preserve"> </w:t>
      </w:r>
    </w:p>
    <w:p w14:paraId="0AC2307C">
      <w:pPr>
        <w:pStyle w:val="19"/>
        <w:ind w:firstLine="420" w:firstLineChars="200"/>
        <w:rPr>
          <w:rFonts w:ascii="宋体" w:hAnsi="宋体" w:eastAsia="宋体"/>
          <w:color w:val="auto"/>
          <w:sz w:val="21"/>
          <w:szCs w:val="21"/>
          <w:lang w:eastAsia="zh-CN"/>
        </w:rPr>
      </w:pPr>
      <w:r>
        <w:rPr>
          <w:rFonts w:hint="eastAsia" w:ascii="宋体" w:hAnsi="宋体" w:eastAsia="宋体" w:cs="宋体"/>
          <w:color w:val="auto"/>
          <w:sz w:val="21"/>
          <w:szCs w:val="21"/>
          <w:lang w:eastAsia="zh-CN"/>
        </w:rPr>
        <w:t>《项目预算》的编制也分为两部分，一部分是直接项目支出，这部分由项目负责人提供；另一部分为间接项目支出，例如工资、房租等，这部分由财务人员提供。此外，还包括预计的收款金额和进度，这部分由筹款人或者捐赠方提供。经财务部汇总并最终编制完成《项目预算》。</w:t>
      </w:r>
      <w:r>
        <w:rPr>
          <w:rFonts w:ascii="宋体" w:hAnsi="宋体" w:eastAsia="宋体"/>
          <w:color w:val="auto"/>
          <w:sz w:val="21"/>
          <w:szCs w:val="21"/>
          <w:lang w:eastAsia="zh-CN"/>
        </w:rPr>
        <w:t xml:space="preserve"> </w:t>
      </w:r>
    </w:p>
    <w:p w14:paraId="7D1DB3AB">
      <w:pPr>
        <w:pStyle w:val="19"/>
        <w:rPr>
          <w:rFonts w:ascii="宋体" w:hAnsi="宋体" w:eastAsia="宋体"/>
          <w:b/>
          <w:color w:val="auto"/>
          <w:sz w:val="21"/>
          <w:szCs w:val="21"/>
          <w:lang w:eastAsia="zh-CN"/>
        </w:rPr>
      </w:pPr>
      <w:r>
        <w:rPr>
          <w:rFonts w:hint="eastAsia" w:ascii="宋体" w:hAnsi="宋体" w:eastAsia="宋体" w:cs="宋体"/>
          <w:b/>
          <w:color w:val="auto"/>
          <w:sz w:val="21"/>
          <w:szCs w:val="21"/>
          <w:lang w:eastAsia="zh-CN"/>
        </w:rPr>
        <w:t>三、中期预算的控制及调整</w:t>
      </w:r>
    </w:p>
    <w:p w14:paraId="071FF4F8">
      <w:pPr>
        <w:pStyle w:val="19"/>
        <w:ind w:firstLine="420" w:firstLineChars="200"/>
        <w:rPr>
          <w:rFonts w:ascii="宋体" w:hAnsi="宋体" w:eastAsia="宋体"/>
          <w:color w:val="auto"/>
          <w:sz w:val="21"/>
          <w:szCs w:val="21"/>
          <w:lang w:eastAsia="zh-CN"/>
        </w:rPr>
      </w:pPr>
      <w:r>
        <w:rPr>
          <w:rFonts w:hint="eastAsia" w:ascii="宋体" w:hAnsi="宋体" w:eastAsia="宋体" w:cs="宋体"/>
          <w:color w:val="auto"/>
          <w:sz w:val="21"/>
          <w:szCs w:val="21"/>
          <w:lang w:eastAsia="zh-CN"/>
        </w:rPr>
        <w:t>预算的控制有两层，一层是报表层面的控制，包括组织整体的《业务活动表》与《年度预算》的对比、及《项目核算表》与《项目预算》的对比；另一层是报销层面的控制，通过《支出申请单》实现。财务部应针对预算实施过程中发生的大额偏差与领导人及项目负责人及时地沟通，进行项目上或者财务上的调整。</w:t>
      </w:r>
      <w:r>
        <w:rPr>
          <w:rFonts w:ascii="宋体" w:hAnsi="宋体" w:eastAsia="宋体"/>
          <w:color w:val="auto"/>
          <w:sz w:val="21"/>
          <w:szCs w:val="21"/>
          <w:lang w:eastAsia="zh-CN"/>
        </w:rPr>
        <w:t xml:space="preserve"> </w:t>
      </w:r>
    </w:p>
    <w:p w14:paraId="1D894357">
      <w:pPr>
        <w:pStyle w:val="19"/>
        <w:rPr>
          <w:rFonts w:ascii="宋体" w:hAnsi="宋体" w:eastAsia="宋体"/>
          <w:b/>
          <w:color w:val="auto"/>
          <w:sz w:val="21"/>
          <w:szCs w:val="21"/>
          <w:lang w:eastAsia="zh-CN"/>
        </w:rPr>
      </w:pPr>
      <w:r>
        <w:rPr>
          <w:rFonts w:hint="eastAsia" w:ascii="宋体" w:hAnsi="宋体" w:eastAsia="宋体" w:cs="宋体"/>
          <w:b/>
          <w:color w:val="auto"/>
          <w:sz w:val="21"/>
          <w:szCs w:val="21"/>
          <w:lang w:eastAsia="zh-CN"/>
        </w:rPr>
        <w:t>四、后期的实际与预算差异分析</w:t>
      </w:r>
    </w:p>
    <w:p w14:paraId="2B8D52D4">
      <w:pPr>
        <w:pStyle w:val="19"/>
        <w:rPr>
          <w:rFonts w:ascii="宋体" w:hAnsi="宋体" w:eastAsia="宋体"/>
          <w:color w:val="auto"/>
          <w:sz w:val="21"/>
          <w:szCs w:val="21"/>
          <w:lang w:eastAsia="zh-CN"/>
        </w:rPr>
      </w:pPr>
      <w:r>
        <w:rPr>
          <w:rFonts w:hint="eastAsia" w:ascii="宋体" w:hAnsi="宋体" w:eastAsia="宋体"/>
          <w:color w:val="auto"/>
          <w:sz w:val="21"/>
          <w:szCs w:val="21"/>
          <w:lang w:eastAsia="zh-CN"/>
        </w:rPr>
        <w:t>1.</w:t>
      </w:r>
      <w:r>
        <w:rPr>
          <w:rFonts w:hint="eastAsia" w:ascii="宋体" w:hAnsi="宋体" w:eastAsia="宋体" w:cs="宋体"/>
          <w:color w:val="auto"/>
          <w:sz w:val="21"/>
          <w:szCs w:val="21"/>
          <w:lang w:eastAsia="zh-CN"/>
        </w:rPr>
        <w:t>年度决算与预算差异分析</w:t>
      </w:r>
      <w:r>
        <w:rPr>
          <w:rFonts w:ascii="宋体" w:hAnsi="宋体" w:eastAsia="宋体"/>
          <w:color w:val="auto"/>
          <w:sz w:val="21"/>
          <w:szCs w:val="21"/>
          <w:lang w:eastAsia="zh-CN"/>
        </w:rPr>
        <w:t xml:space="preserve"> </w:t>
      </w:r>
    </w:p>
    <w:p w14:paraId="38642F7E">
      <w:pPr>
        <w:pStyle w:val="19"/>
        <w:ind w:firstLine="420" w:firstLineChars="200"/>
        <w:rPr>
          <w:rFonts w:ascii="宋体" w:hAnsi="宋体" w:eastAsia="宋体"/>
          <w:color w:val="auto"/>
          <w:sz w:val="21"/>
          <w:szCs w:val="21"/>
          <w:lang w:eastAsia="zh-CN"/>
        </w:rPr>
      </w:pPr>
      <w:r>
        <w:rPr>
          <w:rFonts w:hint="eastAsia" w:ascii="宋体" w:hAnsi="宋体" w:eastAsia="宋体" w:cs="宋体"/>
          <w:color w:val="auto"/>
          <w:sz w:val="21"/>
          <w:szCs w:val="21"/>
          <w:lang w:eastAsia="zh-CN"/>
        </w:rPr>
        <w:t>财务部于每年</w:t>
      </w:r>
      <w:r>
        <w:rPr>
          <w:rFonts w:hint="eastAsia" w:ascii="宋体" w:hAnsi="宋体" w:eastAsia="宋体" w:cs="Times New Roman"/>
          <w:color w:val="auto"/>
          <w:sz w:val="21"/>
          <w:szCs w:val="21"/>
          <w:u w:val="single"/>
          <w:lang w:eastAsia="zh-CN"/>
        </w:rPr>
        <w:t>2</w:t>
      </w:r>
      <w:r>
        <w:rPr>
          <w:rFonts w:hint="eastAsia" w:ascii="宋体" w:hAnsi="宋体" w:eastAsia="宋体" w:cs="宋体"/>
          <w:color w:val="auto"/>
          <w:sz w:val="21"/>
          <w:szCs w:val="21"/>
          <w:lang w:eastAsia="zh-CN"/>
        </w:rPr>
        <w:t>月之前完成上年的年度决算与预算差异分析，并为今后年度预算的制定提出建设性的建议。</w:t>
      </w:r>
      <w:r>
        <w:rPr>
          <w:rFonts w:ascii="宋体" w:hAnsi="宋体" w:eastAsia="宋体"/>
          <w:color w:val="auto"/>
          <w:sz w:val="21"/>
          <w:szCs w:val="21"/>
          <w:lang w:eastAsia="zh-CN"/>
        </w:rPr>
        <w:t xml:space="preserve"> </w:t>
      </w:r>
    </w:p>
    <w:p w14:paraId="6B1C1EA7">
      <w:pPr>
        <w:pStyle w:val="19"/>
        <w:rPr>
          <w:rFonts w:ascii="宋体" w:hAnsi="宋体" w:eastAsia="宋体"/>
          <w:color w:val="auto"/>
          <w:sz w:val="21"/>
          <w:szCs w:val="21"/>
          <w:lang w:eastAsia="zh-CN"/>
        </w:rPr>
      </w:pPr>
      <w:r>
        <w:rPr>
          <w:rFonts w:hint="eastAsia" w:ascii="宋体" w:hAnsi="宋体" w:eastAsia="宋体"/>
          <w:color w:val="auto"/>
          <w:sz w:val="21"/>
          <w:szCs w:val="21"/>
          <w:lang w:eastAsia="zh-CN"/>
        </w:rPr>
        <w:t>2.</w:t>
      </w:r>
      <w:r>
        <w:rPr>
          <w:rFonts w:hint="eastAsia" w:ascii="宋体" w:hAnsi="宋体" w:eastAsia="宋体" w:cs="宋体"/>
          <w:color w:val="auto"/>
          <w:sz w:val="21"/>
          <w:szCs w:val="21"/>
          <w:lang w:eastAsia="zh-CN"/>
        </w:rPr>
        <w:t>项目决算与预算差异分析</w:t>
      </w:r>
      <w:r>
        <w:rPr>
          <w:rFonts w:ascii="宋体" w:hAnsi="宋体" w:eastAsia="宋体"/>
          <w:color w:val="auto"/>
          <w:sz w:val="21"/>
          <w:szCs w:val="21"/>
          <w:lang w:eastAsia="zh-CN"/>
        </w:rPr>
        <w:t xml:space="preserve"> </w:t>
      </w:r>
    </w:p>
    <w:p w14:paraId="702AC717">
      <w:pPr>
        <w:pStyle w:val="19"/>
        <w:ind w:firstLine="420" w:firstLineChars="200"/>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财务部于项目结束后</w:t>
      </w:r>
      <w:r>
        <w:rPr>
          <w:rFonts w:hint="eastAsia" w:ascii="宋体" w:hAnsi="宋体" w:eastAsia="宋体" w:cs="Times New Roman"/>
          <w:color w:val="auto"/>
          <w:sz w:val="21"/>
          <w:szCs w:val="21"/>
          <w:u w:val="single"/>
          <w:lang w:eastAsia="zh-CN"/>
        </w:rPr>
        <w:t>两周</w:t>
      </w:r>
      <w:r>
        <w:rPr>
          <w:rFonts w:hint="eastAsia" w:ascii="宋体" w:hAnsi="宋体" w:eastAsia="宋体" w:cs="宋体"/>
          <w:color w:val="auto"/>
          <w:sz w:val="21"/>
          <w:szCs w:val="21"/>
          <w:lang w:eastAsia="zh-CN"/>
        </w:rPr>
        <w:t>之内完成项目决算与预算差异分析，并为今后项目预算的制定提出建设性的建议。项目决算报告及差异分析的完成时间可适捐赠方的要求进行调整。</w:t>
      </w:r>
      <w:bookmarkStart w:id="10" w:name="_Toc235526482"/>
    </w:p>
    <w:p w14:paraId="262DD3BF">
      <w:pPr>
        <w:pStyle w:val="19"/>
        <w:rPr>
          <w:rFonts w:ascii="宋体" w:hAnsi="宋体" w:eastAsia="宋体" w:cs="宋体"/>
          <w:color w:val="auto"/>
          <w:sz w:val="21"/>
          <w:szCs w:val="21"/>
          <w:lang w:eastAsia="zh-CN"/>
        </w:rPr>
      </w:pPr>
    </w:p>
    <w:p w14:paraId="7D80CDBD">
      <w:pPr>
        <w:pStyle w:val="19"/>
        <w:jc w:val="center"/>
        <w:rPr>
          <w:rFonts w:ascii="Calibri" w:eastAsia="宋体" w:cs="Times New Roman"/>
          <w:b/>
          <w:color w:val="auto"/>
          <w:sz w:val="44"/>
          <w:szCs w:val="44"/>
          <w:lang w:eastAsia="zh-CN"/>
        </w:rPr>
      </w:pPr>
      <w:r>
        <w:rPr>
          <w:rFonts w:ascii="Calibri" w:eastAsia="宋体"/>
          <w:b/>
          <w:color w:val="auto"/>
          <w:sz w:val="44"/>
          <w:szCs w:val="44"/>
          <w:lang w:eastAsia="zh-CN"/>
        </w:rPr>
        <w:br w:type="page"/>
      </w:r>
      <w:r>
        <w:rPr>
          <w:rFonts w:hint="eastAsia" w:ascii="Calibri" w:eastAsia="宋体"/>
          <w:b/>
          <w:color w:val="auto"/>
          <w:sz w:val="44"/>
          <w:szCs w:val="44"/>
          <w:lang w:eastAsia="zh-CN"/>
        </w:rPr>
        <w:t>第六</w:t>
      </w:r>
      <w:r>
        <w:rPr>
          <w:rFonts w:hint="eastAsia" w:ascii="Calibri" w:eastAsia="宋体" w:cs="Times New Roman"/>
          <w:b/>
          <w:color w:val="auto"/>
          <w:sz w:val="44"/>
          <w:szCs w:val="44"/>
          <w:lang w:eastAsia="zh-CN"/>
        </w:rPr>
        <w:t>章</w:t>
      </w:r>
      <w:r>
        <w:rPr>
          <w:rFonts w:hint="eastAsia" w:eastAsia="宋体"/>
          <w:b/>
          <w:color w:val="auto"/>
          <w:sz w:val="44"/>
          <w:szCs w:val="44"/>
          <w:lang w:eastAsia="zh-CN"/>
        </w:rPr>
        <w:t xml:space="preserve"> </w:t>
      </w:r>
      <w:r>
        <w:rPr>
          <w:rFonts w:hint="eastAsia" w:ascii="Calibri" w:eastAsia="宋体" w:cs="Times New Roman"/>
          <w:b/>
          <w:color w:val="auto"/>
          <w:sz w:val="44"/>
          <w:szCs w:val="44"/>
          <w:lang w:eastAsia="zh-CN"/>
        </w:rPr>
        <w:t>固定资产管理</w:t>
      </w:r>
    </w:p>
    <w:p w14:paraId="601DE353">
      <w:pPr>
        <w:widowControl/>
        <w:jc w:val="left"/>
        <w:rPr>
          <w:rFonts w:ascii="Arial" w:hAnsi="Arial" w:cs="Arial"/>
          <w:b/>
          <w:bCs/>
          <w:kern w:val="0"/>
          <w:szCs w:val="21"/>
        </w:rPr>
      </w:pPr>
    </w:p>
    <w:p w14:paraId="700AF5FF">
      <w:pPr>
        <w:widowControl/>
        <w:jc w:val="left"/>
        <w:rPr>
          <w:rFonts w:ascii="Arial" w:hAnsi="Arial" w:cs="Arial"/>
          <w:b/>
          <w:bCs/>
          <w:kern w:val="0"/>
          <w:szCs w:val="21"/>
        </w:rPr>
      </w:pPr>
      <w:r>
        <w:rPr>
          <w:rFonts w:hint="eastAsia" w:ascii="Arial" w:hAnsi="Arial" w:cs="Arial"/>
          <w:b/>
          <w:bCs/>
          <w:kern w:val="0"/>
          <w:szCs w:val="21"/>
        </w:rPr>
        <w:t>一、固定资产的内容</w:t>
      </w:r>
    </w:p>
    <w:p w14:paraId="5B1C0C42">
      <w:pPr>
        <w:widowControl/>
        <w:ind w:firstLine="420" w:firstLineChars="200"/>
        <w:jc w:val="left"/>
        <w:rPr>
          <w:rFonts w:ascii="宋体" w:hAnsi="宋体"/>
          <w:kern w:val="0"/>
          <w:szCs w:val="21"/>
        </w:rPr>
      </w:pPr>
      <w:r>
        <w:rPr>
          <w:rFonts w:ascii="宋体" w:hAnsi="宋体"/>
          <w:kern w:val="0"/>
          <w:szCs w:val="21"/>
        </w:rPr>
        <w:t>固定资产是指本会通过购买、受赠、交易换入、获得的单位价值在800元以上，且耐用期在一年以上并能独立使用的设备等。固定资产分为以下四类：</w:t>
      </w:r>
    </w:p>
    <w:p w14:paraId="77270F87">
      <w:pPr>
        <w:widowControl/>
        <w:ind w:firstLine="420" w:firstLineChars="200"/>
        <w:jc w:val="left"/>
        <w:rPr>
          <w:rFonts w:ascii="宋体" w:hAnsi="宋体"/>
          <w:kern w:val="0"/>
          <w:szCs w:val="21"/>
        </w:rPr>
      </w:pPr>
      <w:r>
        <w:rPr>
          <w:rFonts w:ascii="宋体" w:hAnsi="宋体"/>
          <w:kern w:val="0"/>
          <w:szCs w:val="21"/>
        </w:rPr>
        <w:t>1、房屋；</w:t>
      </w:r>
    </w:p>
    <w:p w14:paraId="6A3B86C2">
      <w:pPr>
        <w:widowControl/>
        <w:ind w:firstLine="420" w:firstLineChars="200"/>
        <w:jc w:val="left"/>
        <w:rPr>
          <w:rFonts w:ascii="宋体" w:hAnsi="宋体"/>
          <w:kern w:val="0"/>
          <w:szCs w:val="21"/>
        </w:rPr>
      </w:pPr>
      <w:r>
        <w:rPr>
          <w:rFonts w:ascii="宋体" w:hAnsi="宋体"/>
          <w:kern w:val="0"/>
          <w:szCs w:val="21"/>
        </w:rPr>
        <w:t>2、一般设备。包括办公用品、用具、电器设备等；</w:t>
      </w:r>
    </w:p>
    <w:p w14:paraId="1B86DD1D">
      <w:pPr>
        <w:widowControl/>
        <w:ind w:firstLine="420" w:firstLineChars="200"/>
        <w:jc w:val="left"/>
        <w:rPr>
          <w:rFonts w:ascii="宋体" w:hAnsi="宋体"/>
          <w:kern w:val="0"/>
          <w:szCs w:val="21"/>
        </w:rPr>
      </w:pPr>
      <w:r>
        <w:rPr>
          <w:rFonts w:ascii="宋体" w:hAnsi="宋体"/>
          <w:kern w:val="0"/>
          <w:szCs w:val="21"/>
        </w:rPr>
        <w:t>3、车辆；</w:t>
      </w:r>
    </w:p>
    <w:p w14:paraId="00C6FBE3">
      <w:pPr>
        <w:widowControl/>
        <w:ind w:firstLine="420" w:firstLineChars="200"/>
        <w:jc w:val="left"/>
        <w:rPr>
          <w:rFonts w:ascii="宋体" w:hAnsi="宋体"/>
          <w:kern w:val="0"/>
          <w:szCs w:val="21"/>
        </w:rPr>
      </w:pPr>
      <w:r>
        <w:rPr>
          <w:rFonts w:ascii="宋体" w:hAnsi="宋体"/>
          <w:kern w:val="0"/>
          <w:szCs w:val="21"/>
        </w:rPr>
        <w:t>4、其他设备。</w:t>
      </w:r>
    </w:p>
    <w:p w14:paraId="5562A413">
      <w:pPr>
        <w:widowControl/>
        <w:jc w:val="left"/>
        <w:rPr>
          <w:rFonts w:ascii="Arial" w:hAnsi="Arial" w:cs="Arial"/>
          <w:b/>
          <w:bCs/>
          <w:kern w:val="0"/>
          <w:szCs w:val="21"/>
        </w:rPr>
      </w:pPr>
      <w:r>
        <w:rPr>
          <w:rFonts w:hint="eastAsia" w:ascii="Arial" w:hAnsi="Arial" w:cs="Arial"/>
          <w:b/>
          <w:bCs/>
          <w:kern w:val="0"/>
          <w:szCs w:val="21"/>
        </w:rPr>
        <w:t>三、取得固定资产时的记账依据</w:t>
      </w:r>
    </w:p>
    <w:p w14:paraId="7CCC17A3">
      <w:pPr>
        <w:widowControl/>
        <w:ind w:firstLine="411" w:firstLineChars="196"/>
        <w:jc w:val="left"/>
        <w:rPr>
          <w:rFonts w:ascii="宋体" w:hAnsi="宋体"/>
          <w:kern w:val="0"/>
          <w:szCs w:val="21"/>
        </w:rPr>
      </w:pPr>
      <w:r>
        <w:rPr>
          <w:rFonts w:ascii="宋体" w:hAnsi="宋体"/>
          <w:kern w:val="0"/>
          <w:szCs w:val="21"/>
        </w:rPr>
        <w:t>设置固定资产明细账。根据购入时固定资产具体品名建立固定资产目录，登记固定资产品牌、型号、数量、购买日期等，并按规定进行明细核算。</w:t>
      </w:r>
    </w:p>
    <w:p w14:paraId="230D0A2E">
      <w:pPr>
        <w:widowControl/>
        <w:ind w:firstLine="420" w:firstLineChars="200"/>
        <w:jc w:val="left"/>
        <w:rPr>
          <w:rFonts w:ascii="宋体" w:hAnsi="宋体"/>
          <w:kern w:val="0"/>
          <w:szCs w:val="21"/>
        </w:rPr>
      </w:pPr>
      <w:r>
        <w:rPr>
          <w:rFonts w:ascii="宋体" w:hAnsi="宋体"/>
          <w:kern w:val="0"/>
          <w:szCs w:val="21"/>
        </w:rPr>
        <w:t>固定资产按获得时的实际成本入账。</w:t>
      </w:r>
    </w:p>
    <w:p w14:paraId="5E9E8A95">
      <w:pPr>
        <w:widowControl/>
        <w:ind w:firstLine="420" w:firstLineChars="200"/>
        <w:jc w:val="left"/>
        <w:rPr>
          <w:rFonts w:ascii="Arial" w:hAnsi="Arial" w:cs="Arial"/>
          <w:kern w:val="0"/>
          <w:szCs w:val="21"/>
        </w:rPr>
      </w:pPr>
      <w:r>
        <w:rPr>
          <w:rFonts w:ascii="宋体" w:hAnsi="宋体"/>
          <w:kern w:val="0"/>
          <w:szCs w:val="21"/>
        </w:rPr>
        <w:t>对于800元以下低值耐用品，使用期限超过一年的，设立辅助账，以加强财产管理。</w:t>
      </w:r>
    </w:p>
    <w:p w14:paraId="156D2AA2">
      <w:pPr>
        <w:widowControl/>
        <w:jc w:val="left"/>
        <w:rPr>
          <w:rFonts w:ascii="Arial" w:hAnsi="Arial" w:cs="Arial"/>
          <w:b/>
          <w:bCs/>
          <w:kern w:val="0"/>
          <w:szCs w:val="21"/>
        </w:rPr>
      </w:pPr>
      <w:r>
        <w:rPr>
          <w:rFonts w:hint="eastAsia" w:ascii="Arial" w:hAnsi="Arial" w:cs="Arial"/>
          <w:b/>
          <w:bCs/>
          <w:kern w:val="0"/>
          <w:szCs w:val="21"/>
        </w:rPr>
        <w:t>四、审批权限</w:t>
      </w:r>
    </w:p>
    <w:p w14:paraId="2BD1762B">
      <w:pPr>
        <w:widowControl/>
        <w:ind w:firstLine="411" w:firstLineChars="196"/>
        <w:jc w:val="left"/>
        <w:rPr>
          <w:rFonts w:ascii="Arial" w:hAnsi="Arial" w:cs="Arial"/>
          <w:kern w:val="0"/>
          <w:szCs w:val="21"/>
        </w:rPr>
      </w:pPr>
      <w:r>
        <w:rPr>
          <w:rFonts w:ascii="宋体" w:hAnsi="宋体"/>
          <w:kern w:val="0"/>
          <w:szCs w:val="21"/>
        </w:rPr>
        <w:t>固定资产购买、受赠、交易换入；转让、报废的审批权限为：单位价值在100万元以上，由秘书长审核，经理事会同意后，理事长批准；价值在100万元以下，1万元以上，由秘书长审核，报理事长批准。1万元以下，由秘书长审批。房产出租合同书由秘书长审核签字，并报告理事长。</w:t>
      </w:r>
    </w:p>
    <w:p w14:paraId="4779555C">
      <w:pPr>
        <w:widowControl/>
        <w:numPr>
          <w:ilvl w:val="0"/>
          <w:numId w:val="1"/>
        </w:numPr>
        <w:jc w:val="left"/>
        <w:rPr>
          <w:rFonts w:ascii="Arial" w:hAnsi="Arial" w:cs="Arial"/>
          <w:b/>
          <w:bCs/>
          <w:kern w:val="0"/>
          <w:szCs w:val="21"/>
        </w:rPr>
      </w:pPr>
      <w:r>
        <w:rPr>
          <w:rFonts w:hint="eastAsia" w:ascii="Arial" w:hAnsi="Arial" w:cs="Arial"/>
          <w:b/>
          <w:bCs/>
          <w:kern w:val="0"/>
          <w:szCs w:val="21"/>
        </w:rPr>
        <w:t>固定资产折旧</w:t>
      </w:r>
    </w:p>
    <w:p w14:paraId="6FCA72CF">
      <w:pPr>
        <w:widowControl/>
        <w:ind w:firstLine="411" w:firstLineChars="196"/>
        <w:jc w:val="left"/>
        <w:rPr>
          <w:rFonts w:ascii="宋体" w:hAnsi="宋体"/>
          <w:kern w:val="0"/>
          <w:szCs w:val="21"/>
        </w:rPr>
      </w:pPr>
      <w:r>
        <w:rPr>
          <w:rFonts w:ascii="宋体" w:hAnsi="宋体"/>
          <w:kern w:val="0"/>
          <w:szCs w:val="21"/>
        </w:rPr>
        <w:t>固定资产按年限平均法计提折旧</w:t>
      </w:r>
      <w:r>
        <w:rPr>
          <w:rFonts w:hint="eastAsia" w:ascii="宋体" w:hAnsi="宋体"/>
          <w:kern w:val="0"/>
          <w:szCs w:val="21"/>
        </w:rPr>
        <w:t>，具体如下。暂不提取减值准备</w:t>
      </w:r>
      <w:r>
        <w:rPr>
          <w:rFonts w:ascii="宋体" w:hAnsi="宋体"/>
          <w:kern w:val="0"/>
          <w:szCs w:val="21"/>
        </w:rPr>
        <w:t>。</w:t>
      </w:r>
    </w:p>
    <w:p w14:paraId="0D0E1140">
      <w:pPr>
        <w:widowControl/>
        <w:ind w:firstLine="420" w:firstLineChars="200"/>
        <w:jc w:val="left"/>
        <w:rPr>
          <w:rFonts w:ascii="宋体" w:hAnsi="宋体"/>
          <w:kern w:val="0"/>
          <w:szCs w:val="21"/>
        </w:rPr>
      </w:pPr>
      <w:r>
        <w:rPr>
          <w:rFonts w:ascii="宋体" w:hAnsi="宋体"/>
          <w:kern w:val="0"/>
          <w:szCs w:val="21"/>
        </w:rPr>
        <w:t>一般设备</w:t>
      </w:r>
      <w:r>
        <w:rPr>
          <w:rFonts w:hint="eastAsia" w:ascii="宋体" w:hAnsi="宋体"/>
          <w:kern w:val="0"/>
          <w:szCs w:val="21"/>
        </w:rPr>
        <w:t>按3</w:t>
      </w:r>
      <w:r>
        <w:rPr>
          <w:rFonts w:ascii="宋体" w:hAnsi="宋体"/>
          <w:kern w:val="0"/>
          <w:szCs w:val="21"/>
        </w:rPr>
        <w:t>年</w:t>
      </w:r>
      <w:r>
        <w:rPr>
          <w:rFonts w:hint="eastAsia" w:ascii="宋体" w:hAnsi="宋体"/>
          <w:kern w:val="0"/>
          <w:szCs w:val="21"/>
        </w:rPr>
        <w:t>计提折旧</w:t>
      </w:r>
      <w:r>
        <w:rPr>
          <w:rFonts w:ascii="宋体" w:hAnsi="宋体"/>
          <w:kern w:val="0"/>
          <w:szCs w:val="21"/>
        </w:rPr>
        <w:t>；</w:t>
      </w:r>
    </w:p>
    <w:p w14:paraId="56DFCF5A">
      <w:pPr>
        <w:widowControl/>
        <w:ind w:firstLine="420" w:firstLineChars="200"/>
        <w:jc w:val="left"/>
        <w:rPr>
          <w:rFonts w:ascii="宋体" w:hAnsi="宋体"/>
          <w:kern w:val="0"/>
          <w:szCs w:val="21"/>
        </w:rPr>
      </w:pPr>
      <w:r>
        <w:rPr>
          <w:rFonts w:hint="eastAsia" w:ascii="宋体" w:hAnsi="宋体"/>
          <w:kern w:val="0"/>
          <w:szCs w:val="21"/>
        </w:rPr>
        <w:t>电子设备按4年计提折旧；</w:t>
      </w:r>
    </w:p>
    <w:p w14:paraId="6D5194EF">
      <w:pPr>
        <w:widowControl/>
        <w:ind w:firstLine="420" w:firstLineChars="200"/>
        <w:jc w:val="left"/>
        <w:rPr>
          <w:rFonts w:ascii="宋体" w:hAnsi="宋体"/>
          <w:kern w:val="0"/>
          <w:szCs w:val="21"/>
        </w:rPr>
      </w:pPr>
      <w:r>
        <w:rPr>
          <w:rFonts w:ascii="宋体" w:hAnsi="宋体"/>
          <w:kern w:val="0"/>
          <w:szCs w:val="21"/>
        </w:rPr>
        <w:t>车辆</w:t>
      </w:r>
      <w:r>
        <w:rPr>
          <w:rFonts w:hint="eastAsia" w:ascii="宋体" w:hAnsi="宋体"/>
          <w:kern w:val="0"/>
          <w:szCs w:val="21"/>
        </w:rPr>
        <w:t>按</w:t>
      </w:r>
      <w:r>
        <w:rPr>
          <w:rFonts w:ascii="宋体" w:hAnsi="宋体"/>
          <w:kern w:val="0"/>
          <w:szCs w:val="21"/>
        </w:rPr>
        <w:t>1</w:t>
      </w:r>
      <w:r>
        <w:rPr>
          <w:rFonts w:hint="eastAsia" w:ascii="宋体" w:hAnsi="宋体"/>
          <w:kern w:val="0"/>
          <w:szCs w:val="21"/>
        </w:rPr>
        <w:t>5</w:t>
      </w:r>
      <w:r>
        <w:rPr>
          <w:rFonts w:ascii="宋体" w:hAnsi="宋体"/>
          <w:kern w:val="0"/>
          <w:szCs w:val="21"/>
        </w:rPr>
        <w:t>年</w:t>
      </w:r>
      <w:r>
        <w:rPr>
          <w:rFonts w:hint="eastAsia" w:ascii="宋体" w:hAnsi="宋体"/>
          <w:kern w:val="0"/>
          <w:szCs w:val="21"/>
        </w:rPr>
        <w:t>计提折旧，旧车辆按照已使用年限折抵，净残值按原值5%确定</w:t>
      </w:r>
      <w:r>
        <w:rPr>
          <w:rFonts w:ascii="宋体" w:hAnsi="宋体"/>
          <w:kern w:val="0"/>
          <w:szCs w:val="21"/>
        </w:rPr>
        <w:t>；</w:t>
      </w:r>
    </w:p>
    <w:p w14:paraId="3ACF59B7">
      <w:pPr>
        <w:widowControl/>
        <w:ind w:firstLine="420" w:firstLineChars="200"/>
        <w:jc w:val="left"/>
        <w:rPr>
          <w:rFonts w:ascii="宋体" w:hAnsi="宋体"/>
          <w:kern w:val="0"/>
          <w:szCs w:val="21"/>
        </w:rPr>
      </w:pPr>
      <w:r>
        <w:rPr>
          <w:rFonts w:ascii="宋体" w:hAnsi="宋体"/>
          <w:kern w:val="0"/>
          <w:szCs w:val="21"/>
        </w:rPr>
        <w:t>房屋</w:t>
      </w:r>
      <w:r>
        <w:rPr>
          <w:rFonts w:hint="eastAsia" w:ascii="宋体" w:hAnsi="宋体"/>
          <w:kern w:val="0"/>
          <w:szCs w:val="21"/>
        </w:rPr>
        <w:t>按</w:t>
      </w:r>
      <w:r>
        <w:rPr>
          <w:rFonts w:ascii="宋体" w:hAnsi="宋体"/>
          <w:kern w:val="0"/>
          <w:szCs w:val="21"/>
        </w:rPr>
        <w:t>20年</w:t>
      </w:r>
      <w:r>
        <w:rPr>
          <w:rFonts w:hint="eastAsia" w:ascii="宋体" w:hAnsi="宋体"/>
          <w:kern w:val="0"/>
          <w:szCs w:val="21"/>
        </w:rPr>
        <w:t>计提折旧，净残值按原值5%确定</w:t>
      </w:r>
      <w:r>
        <w:rPr>
          <w:rFonts w:ascii="宋体" w:hAnsi="宋体"/>
          <w:kern w:val="0"/>
          <w:szCs w:val="21"/>
        </w:rPr>
        <w:t>。</w:t>
      </w:r>
    </w:p>
    <w:p w14:paraId="60E0E880">
      <w:pPr>
        <w:widowControl/>
        <w:ind w:firstLine="420" w:firstLineChars="200"/>
        <w:jc w:val="left"/>
        <w:rPr>
          <w:rFonts w:ascii="宋体" w:hAnsi="宋体"/>
          <w:kern w:val="0"/>
          <w:szCs w:val="21"/>
        </w:rPr>
      </w:pPr>
      <w:r>
        <w:rPr>
          <w:rFonts w:ascii="宋体" w:hAnsi="宋体"/>
          <w:kern w:val="0"/>
          <w:szCs w:val="21"/>
        </w:rPr>
        <w:t>固定资产预计净残值按原值的5％确定。</w:t>
      </w:r>
    </w:p>
    <w:p w14:paraId="641A5744">
      <w:pPr>
        <w:widowControl/>
        <w:numPr>
          <w:ilvl w:val="0"/>
          <w:numId w:val="1"/>
        </w:numPr>
        <w:jc w:val="left"/>
        <w:rPr>
          <w:rFonts w:ascii="Arial" w:hAnsi="Arial" w:cs="Arial"/>
          <w:b/>
          <w:bCs/>
          <w:kern w:val="0"/>
          <w:szCs w:val="21"/>
        </w:rPr>
      </w:pPr>
      <w:r>
        <w:rPr>
          <w:rFonts w:hint="eastAsia" w:ascii="Arial" w:hAnsi="Arial" w:cs="Arial"/>
          <w:b/>
          <w:bCs/>
          <w:kern w:val="0"/>
          <w:szCs w:val="21"/>
        </w:rPr>
        <w:t>固定资产转让</w:t>
      </w:r>
    </w:p>
    <w:p w14:paraId="6A7C998A">
      <w:pPr>
        <w:widowControl/>
        <w:ind w:firstLine="411" w:firstLineChars="196"/>
        <w:jc w:val="left"/>
        <w:rPr>
          <w:rFonts w:ascii="宋体" w:hAnsi="宋体"/>
          <w:kern w:val="0"/>
          <w:szCs w:val="21"/>
        </w:rPr>
      </w:pPr>
      <w:r>
        <w:rPr>
          <w:rFonts w:ascii="宋体" w:hAnsi="宋体"/>
          <w:kern w:val="0"/>
          <w:szCs w:val="21"/>
        </w:rPr>
        <w:t>固定资产作无偿转让的，凭理事会决议书调整资产账目；</w:t>
      </w:r>
    </w:p>
    <w:p w14:paraId="33D774BE">
      <w:pPr>
        <w:widowControl/>
        <w:ind w:firstLine="420" w:firstLineChars="200"/>
        <w:jc w:val="left"/>
        <w:rPr>
          <w:rFonts w:ascii="宋体" w:hAnsi="宋体"/>
          <w:kern w:val="0"/>
          <w:szCs w:val="21"/>
        </w:rPr>
      </w:pPr>
      <w:r>
        <w:rPr>
          <w:rFonts w:ascii="宋体" w:hAnsi="宋体"/>
          <w:kern w:val="0"/>
          <w:szCs w:val="21"/>
        </w:rPr>
        <w:t>固定资产做有偿转让的，凭理事会决议书和实际交易价格调整资产账目。固定资产报废，凭理事会决议书予以核销。</w:t>
      </w:r>
    </w:p>
    <w:p w14:paraId="7E71BC6C">
      <w:pPr>
        <w:widowControl/>
        <w:numPr>
          <w:ilvl w:val="0"/>
          <w:numId w:val="1"/>
        </w:numPr>
        <w:jc w:val="left"/>
        <w:rPr>
          <w:rFonts w:ascii="Arial" w:hAnsi="Arial" w:cs="Arial"/>
          <w:b/>
          <w:bCs/>
          <w:kern w:val="0"/>
          <w:szCs w:val="21"/>
        </w:rPr>
      </w:pPr>
      <w:r>
        <w:rPr>
          <w:rFonts w:hint="eastAsia" w:ascii="Arial" w:hAnsi="Arial" w:cs="Arial"/>
          <w:b/>
          <w:bCs/>
          <w:kern w:val="0"/>
          <w:szCs w:val="21"/>
        </w:rPr>
        <w:t>固定资产毁损</w:t>
      </w:r>
    </w:p>
    <w:p w14:paraId="51123AEA">
      <w:pPr>
        <w:widowControl/>
        <w:ind w:firstLine="411" w:firstLineChars="196"/>
        <w:jc w:val="left"/>
        <w:rPr>
          <w:rFonts w:ascii="宋体" w:hAnsi="宋体"/>
          <w:kern w:val="0"/>
          <w:szCs w:val="21"/>
        </w:rPr>
      </w:pPr>
      <w:r>
        <w:rPr>
          <w:rFonts w:ascii="宋体" w:hAnsi="宋体"/>
          <w:kern w:val="0"/>
          <w:szCs w:val="21"/>
        </w:rPr>
        <w:t>固定资产毁损的，要查明原因，分清责任，过失人应承担赔偿责任。</w:t>
      </w:r>
    </w:p>
    <w:p w14:paraId="4BCB7F2F">
      <w:pPr>
        <w:widowControl/>
        <w:jc w:val="left"/>
        <w:rPr>
          <w:rFonts w:ascii="宋体" w:hAnsi="宋体"/>
          <w:kern w:val="0"/>
          <w:szCs w:val="21"/>
        </w:rPr>
      </w:pPr>
      <w:r>
        <w:rPr>
          <w:rFonts w:ascii="宋体" w:hAnsi="宋体"/>
          <w:kern w:val="0"/>
          <w:szCs w:val="21"/>
        </w:rPr>
        <w:t>有关固定资产毁损的审批权限，参照固定资产转让、报废的审批权限执行。</w:t>
      </w:r>
    </w:p>
    <w:p w14:paraId="27580786">
      <w:pPr>
        <w:widowControl/>
        <w:numPr>
          <w:ilvl w:val="0"/>
          <w:numId w:val="1"/>
        </w:numPr>
        <w:jc w:val="left"/>
        <w:rPr>
          <w:rFonts w:ascii="Arial" w:hAnsi="Arial" w:cs="Arial"/>
          <w:b/>
          <w:bCs/>
          <w:kern w:val="0"/>
          <w:szCs w:val="21"/>
        </w:rPr>
      </w:pPr>
      <w:r>
        <w:rPr>
          <w:rFonts w:hint="eastAsia" w:ascii="Arial" w:hAnsi="Arial" w:cs="Arial"/>
          <w:b/>
          <w:bCs/>
          <w:kern w:val="0"/>
          <w:szCs w:val="21"/>
        </w:rPr>
        <w:t>固定资产盘点</w:t>
      </w:r>
    </w:p>
    <w:p w14:paraId="141C2C64">
      <w:pPr>
        <w:widowControl/>
        <w:ind w:firstLine="411" w:firstLineChars="196"/>
        <w:jc w:val="left"/>
        <w:rPr>
          <w:rFonts w:ascii="宋体" w:hAnsi="宋体"/>
          <w:kern w:val="0"/>
          <w:szCs w:val="21"/>
        </w:rPr>
      </w:pPr>
      <w:r>
        <w:rPr>
          <w:rFonts w:ascii="宋体" w:hAnsi="宋体"/>
          <w:kern w:val="0"/>
          <w:szCs w:val="21"/>
        </w:rPr>
        <w:t>年终由</w:t>
      </w:r>
      <w:r>
        <w:rPr>
          <w:rFonts w:hint="eastAsia" w:ascii="宋体" w:hAnsi="宋体"/>
          <w:kern w:val="0"/>
          <w:szCs w:val="21"/>
        </w:rPr>
        <w:t>行政部主管</w:t>
      </w:r>
      <w:r>
        <w:rPr>
          <w:rFonts w:ascii="宋体" w:hAnsi="宋体"/>
          <w:kern w:val="0"/>
          <w:szCs w:val="21"/>
        </w:rPr>
        <w:t>会同财务人员对固定资产进行盘点，查清固定资产实有数量和账面数量是否相符，并进行年终决算。年终会计报表应附固定资产盘点清单。</w:t>
      </w:r>
    </w:p>
    <w:p w14:paraId="550328A5">
      <w:pPr>
        <w:widowControl/>
        <w:jc w:val="left"/>
        <w:rPr>
          <w:rFonts w:ascii="宋体" w:hAnsi="宋体"/>
          <w:kern w:val="0"/>
          <w:szCs w:val="21"/>
        </w:rPr>
      </w:pPr>
      <w:r>
        <w:rPr>
          <w:rFonts w:ascii="宋体" w:hAnsi="宋体"/>
          <w:kern w:val="0"/>
          <w:szCs w:val="21"/>
        </w:rPr>
        <w:t>对盘盈、盘亏的固定资产，应查明原因，按照固定资产转让、报废审批权限办理审批手续。</w:t>
      </w:r>
    </w:p>
    <w:p w14:paraId="1C21937E">
      <w:pPr>
        <w:widowControl/>
        <w:numPr>
          <w:ilvl w:val="0"/>
          <w:numId w:val="1"/>
        </w:numPr>
        <w:jc w:val="left"/>
        <w:rPr>
          <w:rFonts w:ascii="Arial" w:hAnsi="Arial" w:cs="Arial"/>
          <w:b/>
          <w:bCs/>
          <w:kern w:val="0"/>
          <w:szCs w:val="21"/>
        </w:rPr>
      </w:pPr>
      <w:r>
        <w:rPr>
          <w:rFonts w:hint="eastAsia" w:ascii="Arial" w:hAnsi="Arial" w:cs="Arial"/>
          <w:b/>
          <w:bCs/>
          <w:kern w:val="0"/>
          <w:szCs w:val="21"/>
        </w:rPr>
        <w:t>固定资产的管理人员</w:t>
      </w:r>
    </w:p>
    <w:p w14:paraId="62AFF6F1">
      <w:pPr>
        <w:widowControl/>
        <w:ind w:firstLine="411" w:firstLineChars="196"/>
        <w:jc w:val="left"/>
        <w:rPr>
          <w:rFonts w:ascii="宋体" w:hAnsi="宋体"/>
          <w:kern w:val="0"/>
          <w:szCs w:val="21"/>
        </w:rPr>
      </w:pPr>
      <w:r>
        <w:rPr>
          <w:rFonts w:hint="eastAsia" w:ascii="宋体" w:hAnsi="宋体"/>
          <w:kern w:val="0"/>
          <w:szCs w:val="21"/>
          <w:lang w:eastAsia="zh-CN"/>
        </w:rPr>
        <w:t>山东省国林助学慈善基金会</w:t>
      </w:r>
      <w:r>
        <w:rPr>
          <w:rFonts w:ascii="宋体" w:hAnsi="宋体"/>
          <w:kern w:val="0"/>
          <w:szCs w:val="21"/>
        </w:rPr>
        <w:t>办公室为本会固定资产具体管理部门，负责本</w:t>
      </w:r>
      <w:r>
        <w:rPr>
          <w:rFonts w:hint="eastAsia" w:ascii="宋体" w:hAnsi="宋体"/>
          <w:kern w:val="0"/>
          <w:szCs w:val="21"/>
        </w:rPr>
        <w:t>制度</w:t>
      </w:r>
      <w:r>
        <w:rPr>
          <w:rFonts w:ascii="宋体" w:hAnsi="宋体"/>
          <w:kern w:val="0"/>
          <w:szCs w:val="21"/>
        </w:rPr>
        <w:t>的具体实施。</w:t>
      </w:r>
    </w:p>
    <w:p w14:paraId="205BA034">
      <w:pPr>
        <w:widowControl/>
        <w:ind w:firstLine="420" w:firstLineChars="200"/>
        <w:jc w:val="left"/>
        <w:rPr>
          <w:rFonts w:ascii="宋体" w:hAnsi="宋体"/>
          <w:kern w:val="0"/>
          <w:szCs w:val="21"/>
        </w:rPr>
      </w:pPr>
      <w:r>
        <w:rPr>
          <w:rFonts w:ascii="宋体" w:hAnsi="宋体"/>
          <w:kern w:val="0"/>
          <w:szCs w:val="21"/>
        </w:rPr>
        <w:t>按本</w:t>
      </w:r>
      <w:r>
        <w:rPr>
          <w:rFonts w:hint="eastAsia" w:ascii="宋体" w:hAnsi="宋体"/>
          <w:kern w:val="0"/>
          <w:szCs w:val="21"/>
        </w:rPr>
        <w:t>制度</w:t>
      </w:r>
      <w:r>
        <w:rPr>
          <w:rFonts w:ascii="宋体" w:hAnsi="宋体"/>
          <w:kern w:val="0"/>
          <w:szCs w:val="21"/>
        </w:rPr>
        <w:t>规定办理固定资产的购买、受赠、交易换入和转让、出租、报废、毁损等业务，并由办公室</w:t>
      </w:r>
      <w:r>
        <w:rPr>
          <w:rFonts w:hint="eastAsia" w:ascii="宋体" w:hAnsi="宋体"/>
          <w:kern w:val="0"/>
          <w:szCs w:val="21"/>
        </w:rPr>
        <w:t>出纳和行政</w:t>
      </w:r>
      <w:r>
        <w:rPr>
          <w:rFonts w:ascii="宋体" w:hAnsi="宋体"/>
          <w:kern w:val="0"/>
          <w:szCs w:val="21"/>
        </w:rPr>
        <w:t>共同参与办理。</w:t>
      </w:r>
    </w:p>
    <w:p w14:paraId="3C95ABA9">
      <w:pPr>
        <w:widowControl/>
        <w:ind w:firstLine="420" w:firstLineChars="200"/>
        <w:jc w:val="left"/>
        <w:rPr>
          <w:rFonts w:ascii="宋体" w:hAnsi="宋体"/>
          <w:kern w:val="0"/>
          <w:sz w:val="24"/>
          <w:szCs w:val="24"/>
        </w:rPr>
      </w:pPr>
      <w:r>
        <w:rPr>
          <w:rFonts w:ascii="宋体" w:hAnsi="宋体"/>
          <w:kern w:val="0"/>
          <w:szCs w:val="21"/>
        </w:rPr>
        <w:t>办公室确定</w:t>
      </w:r>
      <w:r>
        <w:rPr>
          <w:rFonts w:hint="eastAsia" w:ascii="宋体" w:hAnsi="宋体"/>
          <w:b/>
          <w:kern w:val="0"/>
          <w:szCs w:val="21"/>
        </w:rPr>
        <w:t>出纳和行政</w:t>
      </w:r>
      <w:r>
        <w:rPr>
          <w:rFonts w:ascii="宋体" w:hAnsi="宋体"/>
          <w:kern w:val="0"/>
          <w:szCs w:val="21"/>
        </w:rPr>
        <w:t>负责固定资产实物管理，对固定资产实物进行登记、保管、核算。防止各种实物资产被盗、毁损和流失。固定资产的领用、借出等须经</w:t>
      </w:r>
      <w:r>
        <w:rPr>
          <w:rFonts w:hint="eastAsia" w:ascii="宋体" w:hAnsi="宋体"/>
          <w:kern w:val="0"/>
          <w:szCs w:val="21"/>
        </w:rPr>
        <w:t>行政主管</w:t>
      </w:r>
      <w:r>
        <w:rPr>
          <w:rFonts w:ascii="宋体" w:hAnsi="宋体"/>
          <w:kern w:val="0"/>
          <w:szCs w:val="21"/>
        </w:rPr>
        <w:t>批准，并办理相关登记手续。</w:t>
      </w:r>
    </w:p>
    <w:p w14:paraId="18D67B22">
      <w:pPr>
        <w:pStyle w:val="2"/>
        <w:spacing w:line="240" w:lineRule="auto"/>
        <w:jc w:val="center"/>
      </w:pPr>
      <w:bookmarkStart w:id="11" w:name="_Toc320197024"/>
      <w:r>
        <w:br w:type="page"/>
      </w:r>
      <w:r>
        <w:rPr>
          <w:rFonts w:hint="eastAsia"/>
        </w:rPr>
        <w:t>第七章 财务报告编制</w:t>
      </w:r>
      <w:bookmarkEnd w:id="10"/>
      <w:bookmarkEnd w:id="11"/>
    </w:p>
    <w:p w14:paraId="21655B79">
      <w:pPr>
        <w:pStyle w:val="19"/>
        <w:rPr>
          <w:rFonts w:ascii="宋体" w:hAnsi="宋体" w:eastAsia="宋体" w:cs="Times New Roman"/>
          <w:b/>
          <w:color w:val="auto"/>
          <w:sz w:val="21"/>
          <w:szCs w:val="21"/>
          <w:lang w:eastAsia="zh-CN"/>
        </w:rPr>
      </w:pPr>
      <w:r>
        <w:rPr>
          <w:rFonts w:hint="eastAsia" w:ascii="宋体" w:hAnsi="宋体" w:eastAsia="宋体" w:cs="Times New Roman"/>
          <w:b/>
          <w:color w:val="auto"/>
          <w:sz w:val="21"/>
          <w:szCs w:val="21"/>
          <w:lang w:eastAsia="zh-CN"/>
        </w:rPr>
        <w:t>一、总则</w:t>
      </w:r>
    </w:p>
    <w:p w14:paraId="5C5491A4">
      <w:pPr>
        <w:pStyle w:val="19"/>
        <w:rPr>
          <w:rFonts w:ascii="宋体" w:hAnsi="宋体" w:eastAsia="宋体" w:cs="Times New Roman"/>
          <w:color w:val="auto"/>
          <w:sz w:val="21"/>
          <w:szCs w:val="21"/>
          <w:lang w:eastAsia="zh-CN"/>
        </w:rPr>
      </w:pPr>
      <w:r>
        <w:rPr>
          <w:rFonts w:hint="eastAsia" w:ascii="宋体" w:hAnsi="宋体" w:eastAsia="宋体" w:cs="Times New Roman"/>
          <w:color w:val="auto"/>
          <w:sz w:val="21"/>
          <w:szCs w:val="21"/>
          <w:lang w:eastAsia="zh-CN"/>
        </w:rPr>
        <w:t>为了规范组织的财务报告编制，保证组织的经营状况能够通过财务报告及时、准确、完整地反映，制定本规范。本规范所指的财务报告指资产负债表、业务活动表、现金流量表及报表附注。</w:t>
      </w:r>
    </w:p>
    <w:p w14:paraId="2BE79FF1">
      <w:pPr>
        <w:pStyle w:val="19"/>
        <w:rPr>
          <w:rFonts w:ascii="宋体" w:hAnsi="宋体" w:eastAsia="宋体" w:cs="Times New Roman"/>
          <w:b/>
          <w:color w:val="auto"/>
          <w:sz w:val="21"/>
          <w:szCs w:val="21"/>
          <w:lang w:eastAsia="zh-CN"/>
        </w:rPr>
      </w:pPr>
      <w:r>
        <w:rPr>
          <w:rFonts w:hint="eastAsia" w:ascii="宋体" w:hAnsi="宋体" w:eastAsia="宋体" w:cs="Times New Roman"/>
          <w:b/>
          <w:color w:val="auto"/>
          <w:sz w:val="21"/>
          <w:szCs w:val="21"/>
          <w:lang w:eastAsia="zh-CN"/>
        </w:rPr>
        <w:t>二、会计制度</w:t>
      </w:r>
    </w:p>
    <w:p w14:paraId="1C6A99AB">
      <w:pPr>
        <w:pStyle w:val="19"/>
        <w:rPr>
          <w:rFonts w:ascii="宋体" w:hAnsi="宋体" w:eastAsia="宋体" w:cs="Times New Roman"/>
          <w:color w:val="auto"/>
          <w:sz w:val="21"/>
          <w:szCs w:val="21"/>
          <w:lang w:eastAsia="zh-CN"/>
        </w:rPr>
      </w:pPr>
      <w:r>
        <w:rPr>
          <w:rFonts w:hint="eastAsia" w:ascii="宋体" w:hAnsi="宋体" w:eastAsia="宋体" w:cs="Times New Roman"/>
          <w:color w:val="auto"/>
          <w:sz w:val="21"/>
          <w:szCs w:val="21"/>
          <w:lang w:eastAsia="zh-CN"/>
        </w:rPr>
        <w:t>组织按照《民间非营利组织会计制度》编制财务报表。</w:t>
      </w:r>
    </w:p>
    <w:p w14:paraId="1D41EF9B">
      <w:pPr>
        <w:pStyle w:val="19"/>
        <w:rPr>
          <w:rFonts w:ascii="宋体" w:hAnsi="宋体" w:eastAsia="宋体" w:cs="Times New Roman"/>
          <w:b/>
          <w:color w:val="auto"/>
          <w:sz w:val="21"/>
          <w:szCs w:val="21"/>
          <w:lang w:eastAsia="zh-CN"/>
        </w:rPr>
      </w:pPr>
      <w:r>
        <w:rPr>
          <w:rFonts w:hint="eastAsia" w:ascii="宋体" w:hAnsi="宋体" w:eastAsia="宋体" w:cs="Times New Roman"/>
          <w:b/>
          <w:color w:val="auto"/>
          <w:sz w:val="21"/>
          <w:szCs w:val="21"/>
          <w:lang w:eastAsia="zh-CN"/>
        </w:rPr>
        <w:t>三、会计年度</w:t>
      </w:r>
    </w:p>
    <w:p w14:paraId="57B290D8">
      <w:pPr>
        <w:pStyle w:val="19"/>
        <w:rPr>
          <w:rFonts w:ascii="宋体" w:hAnsi="宋体" w:eastAsia="宋体" w:cs="Times New Roman"/>
          <w:color w:val="auto"/>
          <w:sz w:val="21"/>
          <w:szCs w:val="21"/>
          <w:lang w:eastAsia="zh-CN"/>
        </w:rPr>
      </w:pPr>
      <w:r>
        <w:rPr>
          <w:rFonts w:hint="eastAsia" w:ascii="宋体" w:hAnsi="宋体" w:eastAsia="宋体" w:cs="Times New Roman"/>
          <w:color w:val="auto"/>
          <w:sz w:val="21"/>
          <w:szCs w:val="21"/>
          <w:lang w:eastAsia="zh-CN"/>
        </w:rPr>
        <w:t>组织的会计年度为每年</w:t>
      </w:r>
      <w:r>
        <w:rPr>
          <w:rFonts w:ascii="宋体" w:hAnsi="宋体" w:eastAsia="宋体" w:cs="Times New Roman"/>
          <w:color w:val="auto"/>
          <w:sz w:val="21"/>
          <w:szCs w:val="21"/>
          <w:lang w:eastAsia="zh-CN"/>
        </w:rPr>
        <w:t>1</w:t>
      </w:r>
      <w:r>
        <w:rPr>
          <w:rFonts w:hint="eastAsia" w:ascii="宋体" w:hAnsi="宋体" w:eastAsia="宋体" w:cs="Times New Roman"/>
          <w:color w:val="auto"/>
          <w:sz w:val="21"/>
          <w:szCs w:val="21"/>
          <w:lang w:eastAsia="zh-CN"/>
        </w:rPr>
        <w:t>月</w:t>
      </w:r>
      <w:r>
        <w:rPr>
          <w:rFonts w:ascii="宋体" w:hAnsi="宋体" w:eastAsia="宋体" w:cs="Times New Roman"/>
          <w:color w:val="auto"/>
          <w:sz w:val="21"/>
          <w:szCs w:val="21"/>
          <w:lang w:eastAsia="zh-CN"/>
        </w:rPr>
        <w:t>1</w:t>
      </w:r>
      <w:r>
        <w:rPr>
          <w:rFonts w:hint="eastAsia" w:ascii="宋体" w:hAnsi="宋体" w:eastAsia="宋体" w:cs="Times New Roman"/>
          <w:color w:val="auto"/>
          <w:sz w:val="21"/>
          <w:szCs w:val="21"/>
          <w:lang w:eastAsia="zh-CN"/>
        </w:rPr>
        <w:t>日至</w:t>
      </w:r>
      <w:r>
        <w:rPr>
          <w:rFonts w:ascii="宋体" w:hAnsi="宋体" w:eastAsia="宋体" w:cs="Times New Roman"/>
          <w:color w:val="auto"/>
          <w:sz w:val="21"/>
          <w:szCs w:val="21"/>
          <w:lang w:eastAsia="zh-CN"/>
        </w:rPr>
        <w:t>12</w:t>
      </w:r>
      <w:r>
        <w:rPr>
          <w:rFonts w:hint="eastAsia" w:ascii="宋体" w:hAnsi="宋体" w:eastAsia="宋体" w:cs="Times New Roman"/>
          <w:color w:val="auto"/>
          <w:sz w:val="21"/>
          <w:szCs w:val="21"/>
          <w:lang w:eastAsia="zh-CN"/>
        </w:rPr>
        <w:t>月</w:t>
      </w:r>
      <w:r>
        <w:rPr>
          <w:rFonts w:ascii="宋体" w:hAnsi="宋体" w:eastAsia="宋体" w:cs="Times New Roman"/>
          <w:color w:val="auto"/>
          <w:sz w:val="21"/>
          <w:szCs w:val="21"/>
          <w:lang w:eastAsia="zh-CN"/>
        </w:rPr>
        <w:t>31</w:t>
      </w:r>
      <w:r>
        <w:rPr>
          <w:rFonts w:hint="eastAsia" w:ascii="宋体" w:hAnsi="宋体" w:eastAsia="宋体" w:cs="Times New Roman"/>
          <w:color w:val="auto"/>
          <w:sz w:val="21"/>
          <w:szCs w:val="21"/>
          <w:lang w:eastAsia="zh-CN"/>
        </w:rPr>
        <w:t>日。</w:t>
      </w:r>
      <w:r>
        <w:rPr>
          <w:rFonts w:ascii="宋体" w:hAnsi="宋体" w:eastAsia="宋体" w:cs="Times New Roman"/>
          <w:color w:val="auto"/>
          <w:sz w:val="21"/>
          <w:szCs w:val="21"/>
          <w:lang w:eastAsia="zh-CN"/>
        </w:rPr>
        <w:t xml:space="preserve"> </w:t>
      </w:r>
    </w:p>
    <w:p w14:paraId="39A56660">
      <w:pPr>
        <w:pStyle w:val="19"/>
        <w:rPr>
          <w:rFonts w:ascii="宋体" w:hAnsi="宋体" w:eastAsia="宋体" w:cs="Times New Roman"/>
          <w:b/>
          <w:color w:val="auto"/>
          <w:sz w:val="21"/>
          <w:szCs w:val="21"/>
          <w:lang w:eastAsia="zh-CN"/>
        </w:rPr>
      </w:pPr>
      <w:r>
        <w:rPr>
          <w:rFonts w:hint="eastAsia" w:ascii="宋体" w:hAnsi="宋体" w:eastAsia="宋体" w:cs="Times New Roman"/>
          <w:b/>
          <w:color w:val="auto"/>
          <w:sz w:val="21"/>
          <w:szCs w:val="21"/>
          <w:lang w:eastAsia="zh-CN"/>
        </w:rPr>
        <w:t>四、结账日</w:t>
      </w:r>
    </w:p>
    <w:p w14:paraId="7A8D3A1B">
      <w:pPr>
        <w:pStyle w:val="19"/>
        <w:rPr>
          <w:rFonts w:ascii="宋体" w:hAnsi="宋体" w:eastAsia="宋体" w:cs="Times New Roman"/>
          <w:color w:val="auto"/>
          <w:sz w:val="21"/>
          <w:szCs w:val="21"/>
          <w:lang w:eastAsia="zh-CN"/>
        </w:rPr>
      </w:pPr>
      <w:r>
        <w:rPr>
          <w:rFonts w:hint="eastAsia" w:ascii="宋体" w:hAnsi="宋体" w:eastAsia="宋体" w:cs="Times New Roman"/>
          <w:color w:val="auto"/>
          <w:sz w:val="21"/>
          <w:szCs w:val="21"/>
          <w:lang w:eastAsia="zh-CN"/>
        </w:rPr>
        <w:t>财务的结账日为每月最后一天。</w:t>
      </w:r>
    </w:p>
    <w:p w14:paraId="5F596995">
      <w:pPr>
        <w:pStyle w:val="19"/>
        <w:rPr>
          <w:rFonts w:ascii="宋体" w:hAnsi="宋体" w:eastAsia="宋体" w:cs="Times New Roman"/>
          <w:b/>
          <w:color w:val="auto"/>
          <w:sz w:val="21"/>
          <w:szCs w:val="21"/>
          <w:lang w:eastAsia="zh-CN"/>
        </w:rPr>
      </w:pPr>
      <w:r>
        <w:rPr>
          <w:rFonts w:hint="eastAsia" w:ascii="宋体" w:hAnsi="宋体" w:eastAsia="宋体" w:cs="Times New Roman"/>
          <w:b/>
          <w:color w:val="auto"/>
          <w:sz w:val="21"/>
          <w:szCs w:val="21"/>
          <w:lang w:eastAsia="zh-CN"/>
        </w:rPr>
        <w:t>五、报告提交日</w:t>
      </w:r>
      <w:r>
        <w:rPr>
          <w:rFonts w:ascii="宋体" w:hAnsi="宋体" w:eastAsia="宋体" w:cs="Times New Roman"/>
          <w:b/>
          <w:color w:val="auto"/>
          <w:sz w:val="21"/>
          <w:szCs w:val="21"/>
          <w:lang w:eastAsia="zh-CN"/>
        </w:rPr>
        <w:t xml:space="preserve"> </w:t>
      </w:r>
    </w:p>
    <w:p w14:paraId="71691166">
      <w:pPr>
        <w:pStyle w:val="19"/>
        <w:rPr>
          <w:rFonts w:ascii="宋体" w:hAnsi="宋体" w:eastAsia="宋体" w:cs="Times New Roman"/>
          <w:color w:val="auto"/>
          <w:sz w:val="21"/>
          <w:szCs w:val="21"/>
          <w:lang w:eastAsia="zh-CN"/>
        </w:rPr>
      </w:pPr>
      <w:r>
        <w:rPr>
          <w:rFonts w:hint="eastAsia" w:ascii="宋体" w:hAnsi="宋体" w:eastAsia="宋体" w:cs="Times New Roman"/>
          <w:color w:val="auto"/>
          <w:sz w:val="21"/>
          <w:szCs w:val="21"/>
          <w:lang w:eastAsia="zh-CN"/>
        </w:rPr>
        <w:t>1.组织整体的财务报告</w:t>
      </w:r>
      <w:r>
        <w:rPr>
          <w:rFonts w:ascii="宋体" w:hAnsi="宋体" w:eastAsia="宋体" w:cs="Times New Roman"/>
          <w:color w:val="auto"/>
          <w:sz w:val="21"/>
          <w:szCs w:val="21"/>
          <w:lang w:eastAsia="zh-CN"/>
        </w:rPr>
        <w:t xml:space="preserve"> </w:t>
      </w:r>
    </w:p>
    <w:p w14:paraId="4ED5EDD0">
      <w:pPr>
        <w:pStyle w:val="19"/>
        <w:rPr>
          <w:rFonts w:ascii="宋体" w:hAnsi="宋体" w:eastAsia="宋体" w:cs="Times New Roman"/>
          <w:color w:val="auto"/>
          <w:sz w:val="21"/>
          <w:szCs w:val="21"/>
          <w:lang w:eastAsia="zh-CN"/>
        </w:rPr>
      </w:pPr>
      <w:r>
        <w:rPr>
          <w:rFonts w:hint="eastAsia" w:ascii="宋体" w:hAnsi="宋体" w:eastAsia="宋体" w:cs="Times New Roman"/>
          <w:color w:val="auto"/>
          <w:sz w:val="21"/>
          <w:szCs w:val="21"/>
          <w:lang w:eastAsia="zh-CN"/>
        </w:rPr>
        <w:t>财务部于每年</w:t>
      </w:r>
      <w:r>
        <w:rPr>
          <w:rFonts w:hint="eastAsia" w:ascii="宋体" w:hAnsi="宋体" w:eastAsia="宋体" w:cs="Times New Roman"/>
          <w:color w:val="auto"/>
          <w:sz w:val="21"/>
          <w:szCs w:val="21"/>
          <w:u w:val="single"/>
          <w:lang w:eastAsia="zh-CN"/>
        </w:rPr>
        <w:t>1</w:t>
      </w:r>
      <w:r>
        <w:rPr>
          <w:rFonts w:hint="eastAsia" w:ascii="宋体" w:hAnsi="宋体" w:eastAsia="宋体" w:cs="Times New Roman"/>
          <w:color w:val="auto"/>
          <w:sz w:val="21"/>
          <w:szCs w:val="21"/>
          <w:lang w:eastAsia="zh-CN"/>
        </w:rPr>
        <w:t>月</w:t>
      </w:r>
      <w:r>
        <w:rPr>
          <w:rFonts w:hint="eastAsia" w:ascii="宋体" w:hAnsi="宋体" w:eastAsia="宋体" w:cs="Times New Roman"/>
          <w:color w:val="auto"/>
          <w:sz w:val="21"/>
          <w:szCs w:val="21"/>
          <w:u w:val="single"/>
          <w:lang w:eastAsia="zh-CN"/>
        </w:rPr>
        <w:t>31</w:t>
      </w:r>
      <w:r>
        <w:rPr>
          <w:rFonts w:hint="eastAsia" w:ascii="宋体" w:hAnsi="宋体" w:eastAsia="宋体" w:cs="Times New Roman"/>
          <w:color w:val="auto"/>
          <w:sz w:val="21"/>
          <w:szCs w:val="21"/>
          <w:lang w:eastAsia="zh-CN"/>
        </w:rPr>
        <w:t>日之前提交上年的财务报告。</w:t>
      </w:r>
      <w:r>
        <w:rPr>
          <w:rFonts w:ascii="宋体" w:hAnsi="宋体" w:eastAsia="宋体" w:cs="Times New Roman"/>
          <w:color w:val="auto"/>
          <w:sz w:val="21"/>
          <w:szCs w:val="21"/>
          <w:lang w:eastAsia="zh-CN"/>
        </w:rPr>
        <w:t xml:space="preserve"> </w:t>
      </w:r>
    </w:p>
    <w:p w14:paraId="5D90E8E6">
      <w:pPr>
        <w:pStyle w:val="19"/>
        <w:rPr>
          <w:rFonts w:ascii="宋体" w:hAnsi="宋体" w:eastAsia="宋体" w:cs="Times New Roman"/>
          <w:color w:val="auto"/>
          <w:sz w:val="21"/>
          <w:szCs w:val="21"/>
          <w:lang w:eastAsia="zh-CN"/>
        </w:rPr>
      </w:pPr>
      <w:r>
        <w:rPr>
          <w:rFonts w:hint="eastAsia" w:ascii="宋体" w:hAnsi="宋体" w:eastAsia="宋体" w:cs="Times New Roman"/>
          <w:color w:val="auto"/>
          <w:sz w:val="21"/>
          <w:szCs w:val="21"/>
          <w:lang w:eastAsia="zh-CN"/>
        </w:rPr>
        <w:t>2.项目财务报告</w:t>
      </w:r>
      <w:r>
        <w:rPr>
          <w:rFonts w:ascii="宋体" w:hAnsi="宋体" w:eastAsia="宋体" w:cs="Times New Roman"/>
          <w:color w:val="auto"/>
          <w:sz w:val="21"/>
          <w:szCs w:val="21"/>
          <w:lang w:eastAsia="zh-CN"/>
        </w:rPr>
        <w:t xml:space="preserve"> </w:t>
      </w:r>
    </w:p>
    <w:p w14:paraId="39F05A3D">
      <w:pPr>
        <w:pStyle w:val="19"/>
        <w:rPr>
          <w:rFonts w:ascii="宋体" w:hAnsi="宋体" w:eastAsia="宋体" w:cs="Times New Roman"/>
          <w:color w:val="auto"/>
          <w:sz w:val="21"/>
          <w:szCs w:val="21"/>
          <w:lang w:eastAsia="zh-CN"/>
        </w:rPr>
      </w:pPr>
      <w:r>
        <w:rPr>
          <w:rFonts w:hint="eastAsia" w:ascii="宋体" w:hAnsi="宋体" w:eastAsia="宋体" w:cs="Times New Roman"/>
          <w:color w:val="auto"/>
          <w:sz w:val="21"/>
          <w:szCs w:val="21"/>
          <w:lang w:eastAsia="zh-CN"/>
        </w:rPr>
        <w:t>财务部于项目结束后</w:t>
      </w:r>
      <w:r>
        <w:rPr>
          <w:rFonts w:hint="eastAsia" w:ascii="宋体" w:hAnsi="宋体" w:eastAsia="宋体" w:cs="Times New Roman"/>
          <w:color w:val="auto"/>
          <w:sz w:val="21"/>
          <w:szCs w:val="21"/>
          <w:u w:val="single"/>
          <w:lang w:eastAsia="zh-CN"/>
        </w:rPr>
        <w:t>两周</w:t>
      </w:r>
      <w:r>
        <w:rPr>
          <w:rFonts w:hint="eastAsia" w:ascii="宋体" w:hAnsi="宋体" w:eastAsia="宋体" w:cs="Times New Roman"/>
          <w:color w:val="auto"/>
          <w:sz w:val="21"/>
          <w:szCs w:val="21"/>
          <w:lang w:eastAsia="zh-CN"/>
        </w:rPr>
        <w:t>之内完成项目财务报告。项目财务报告的提交时间可适捐赠方的要求进行调整。</w:t>
      </w:r>
      <w:r>
        <w:rPr>
          <w:rFonts w:ascii="宋体" w:hAnsi="宋体" w:eastAsia="宋体" w:cs="Times New Roman"/>
          <w:color w:val="auto"/>
          <w:sz w:val="21"/>
          <w:szCs w:val="21"/>
          <w:lang w:eastAsia="zh-CN"/>
        </w:rPr>
        <w:t xml:space="preserve"> </w:t>
      </w:r>
    </w:p>
    <w:p w14:paraId="7AB30570">
      <w:pPr>
        <w:pStyle w:val="2"/>
        <w:spacing w:line="240" w:lineRule="auto"/>
        <w:jc w:val="center"/>
      </w:pPr>
      <w:bookmarkStart w:id="12" w:name="_Toc235526487"/>
      <w:bookmarkStart w:id="13" w:name="_Toc320197025"/>
      <w:r>
        <w:br w:type="page"/>
      </w:r>
      <w:r>
        <w:rPr>
          <w:rFonts w:hint="eastAsia"/>
        </w:rPr>
        <w:t>第八章</w:t>
      </w:r>
      <w:r>
        <w:t xml:space="preserve"> </w:t>
      </w:r>
      <w:r>
        <w:rPr>
          <w:rFonts w:hint="eastAsia"/>
        </w:rPr>
        <w:t>财务岗位设置及职责</w:t>
      </w:r>
      <w:bookmarkEnd w:id="12"/>
      <w:bookmarkEnd w:id="13"/>
    </w:p>
    <w:p w14:paraId="6B32A5EB">
      <w:pPr>
        <w:pStyle w:val="19"/>
        <w:rPr>
          <w:rFonts w:ascii="宋体" w:hAnsi="宋体" w:eastAsia="宋体" w:cs="Times New Roman"/>
          <w:b/>
          <w:color w:val="auto"/>
          <w:sz w:val="21"/>
          <w:szCs w:val="21"/>
          <w:lang w:eastAsia="zh-CN"/>
        </w:rPr>
      </w:pPr>
      <w:r>
        <w:rPr>
          <w:rFonts w:hint="eastAsia" w:ascii="宋体" w:hAnsi="宋体" w:eastAsia="宋体" w:cs="Times New Roman"/>
          <w:b/>
          <w:color w:val="auto"/>
          <w:sz w:val="21"/>
          <w:szCs w:val="21"/>
          <w:lang w:eastAsia="zh-CN"/>
        </w:rPr>
        <w:t>一、总则</w:t>
      </w:r>
    </w:p>
    <w:p w14:paraId="5FB572C4">
      <w:pPr>
        <w:pStyle w:val="19"/>
        <w:rPr>
          <w:rFonts w:ascii="宋体" w:hAnsi="宋体" w:eastAsia="宋体" w:cs="Times New Roman"/>
          <w:color w:val="auto"/>
          <w:sz w:val="21"/>
          <w:szCs w:val="21"/>
          <w:lang w:eastAsia="zh-CN"/>
        </w:rPr>
      </w:pPr>
      <w:r>
        <w:rPr>
          <w:rFonts w:hint="eastAsia" w:ascii="宋体" w:hAnsi="宋体" w:eastAsia="宋体" w:cs="Times New Roman"/>
          <w:color w:val="auto"/>
          <w:sz w:val="21"/>
          <w:szCs w:val="21"/>
          <w:lang w:eastAsia="zh-CN"/>
        </w:rPr>
        <w:t>为了明确职责，促使财务工作在协作中顺利完成，制定本规范。</w:t>
      </w:r>
      <w:r>
        <w:rPr>
          <w:rFonts w:ascii="宋体" w:hAnsi="宋体" w:eastAsia="宋体" w:cs="Times New Roman"/>
          <w:color w:val="auto"/>
          <w:sz w:val="21"/>
          <w:szCs w:val="21"/>
          <w:lang w:eastAsia="zh-CN"/>
        </w:rPr>
        <w:t xml:space="preserve"> </w:t>
      </w:r>
    </w:p>
    <w:p w14:paraId="191E4625">
      <w:pPr>
        <w:pStyle w:val="19"/>
        <w:rPr>
          <w:rFonts w:ascii="宋体" w:hAnsi="宋体" w:eastAsia="宋体" w:cs="Times New Roman"/>
          <w:b/>
          <w:color w:val="auto"/>
          <w:sz w:val="21"/>
          <w:szCs w:val="21"/>
          <w:lang w:eastAsia="zh-CN"/>
        </w:rPr>
      </w:pPr>
      <w:r>
        <w:rPr>
          <w:rFonts w:hint="eastAsia" w:ascii="宋体" w:hAnsi="宋体" w:eastAsia="宋体" w:cs="Times New Roman"/>
          <w:b/>
          <w:color w:val="auto"/>
          <w:sz w:val="21"/>
          <w:szCs w:val="21"/>
          <w:lang w:eastAsia="zh-CN"/>
        </w:rPr>
        <w:t>二、组织负责人职责</w:t>
      </w:r>
      <w:r>
        <w:rPr>
          <w:rFonts w:ascii="宋体" w:hAnsi="宋体" w:eastAsia="宋体" w:cs="Times New Roman"/>
          <w:b/>
          <w:color w:val="auto"/>
          <w:sz w:val="21"/>
          <w:szCs w:val="21"/>
          <w:lang w:eastAsia="zh-CN"/>
        </w:rPr>
        <w:t xml:space="preserve"> </w:t>
      </w:r>
    </w:p>
    <w:p w14:paraId="014C833D">
      <w:pPr>
        <w:pStyle w:val="19"/>
        <w:rPr>
          <w:rFonts w:ascii="宋体" w:hAnsi="宋体" w:eastAsia="宋体" w:cs="Times New Roman"/>
          <w:color w:val="auto"/>
          <w:sz w:val="21"/>
          <w:szCs w:val="21"/>
          <w:lang w:eastAsia="zh-CN"/>
        </w:rPr>
      </w:pPr>
      <w:r>
        <w:rPr>
          <w:rFonts w:hint="eastAsia" w:ascii="宋体" w:hAnsi="宋体" w:eastAsia="宋体" w:cs="Times New Roman"/>
          <w:color w:val="auto"/>
          <w:sz w:val="21"/>
          <w:szCs w:val="21"/>
          <w:lang w:eastAsia="zh-CN"/>
        </w:rPr>
        <w:t>1.审阅《财务管理制度》并推动执行；</w:t>
      </w:r>
      <w:r>
        <w:rPr>
          <w:rFonts w:ascii="宋体" w:hAnsi="宋体" w:eastAsia="宋体" w:cs="Times New Roman"/>
          <w:color w:val="auto"/>
          <w:sz w:val="21"/>
          <w:szCs w:val="21"/>
          <w:lang w:eastAsia="zh-CN"/>
        </w:rPr>
        <w:t xml:space="preserve"> </w:t>
      </w:r>
    </w:p>
    <w:p w14:paraId="6975C221">
      <w:pPr>
        <w:pStyle w:val="19"/>
        <w:rPr>
          <w:rFonts w:ascii="宋体" w:hAnsi="宋体" w:eastAsia="宋体" w:cs="Times New Roman"/>
          <w:color w:val="auto"/>
          <w:sz w:val="21"/>
          <w:szCs w:val="21"/>
          <w:lang w:eastAsia="zh-CN"/>
        </w:rPr>
      </w:pPr>
      <w:r>
        <w:rPr>
          <w:rFonts w:hint="eastAsia" w:ascii="宋体" w:hAnsi="宋体" w:eastAsia="宋体" w:cs="Times New Roman"/>
          <w:color w:val="auto"/>
          <w:sz w:val="21"/>
          <w:szCs w:val="21"/>
          <w:lang w:eastAsia="zh-CN"/>
        </w:rPr>
        <w:t>2.审阅《财务报告》和《预算》，就问题与相关方沟通；</w:t>
      </w:r>
      <w:r>
        <w:rPr>
          <w:rFonts w:ascii="宋体" w:hAnsi="宋体" w:eastAsia="宋体" w:cs="Times New Roman"/>
          <w:color w:val="auto"/>
          <w:sz w:val="21"/>
          <w:szCs w:val="21"/>
          <w:lang w:eastAsia="zh-CN"/>
        </w:rPr>
        <w:t xml:space="preserve"> </w:t>
      </w:r>
    </w:p>
    <w:p w14:paraId="799C63BF">
      <w:pPr>
        <w:pStyle w:val="19"/>
        <w:rPr>
          <w:rFonts w:ascii="宋体" w:hAnsi="宋体" w:eastAsia="宋体" w:cs="Times New Roman"/>
          <w:color w:val="auto"/>
          <w:sz w:val="21"/>
          <w:szCs w:val="21"/>
          <w:lang w:eastAsia="zh-CN"/>
        </w:rPr>
      </w:pPr>
      <w:r>
        <w:rPr>
          <w:rFonts w:hint="eastAsia" w:ascii="宋体" w:hAnsi="宋体" w:eastAsia="宋体" w:cs="Times New Roman"/>
          <w:color w:val="auto"/>
          <w:sz w:val="21"/>
          <w:szCs w:val="21"/>
          <w:lang w:eastAsia="zh-CN"/>
        </w:rPr>
        <w:t>3.与财务经理沟通其对财务的要求。</w:t>
      </w:r>
      <w:r>
        <w:rPr>
          <w:rFonts w:ascii="宋体" w:hAnsi="宋体" w:eastAsia="宋体" w:cs="Times New Roman"/>
          <w:color w:val="auto"/>
          <w:sz w:val="21"/>
          <w:szCs w:val="21"/>
          <w:lang w:eastAsia="zh-CN"/>
        </w:rPr>
        <w:t xml:space="preserve"> </w:t>
      </w:r>
    </w:p>
    <w:p w14:paraId="243565D8">
      <w:pPr>
        <w:pStyle w:val="19"/>
        <w:rPr>
          <w:rFonts w:ascii="宋体" w:hAnsi="宋体" w:eastAsia="宋体" w:cs="Times New Roman"/>
          <w:b/>
          <w:color w:val="auto"/>
          <w:sz w:val="21"/>
          <w:szCs w:val="21"/>
          <w:lang w:eastAsia="zh-CN"/>
        </w:rPr>
      </w:pPr>
      <w:r>
        <w:rPr>
          <w:rFonts w:hint="eastAsia" w:ascii="宋体" w:hAnsi="宋体" w:eastAsia="宋体" w:cs="Times New Roman"/>
          <w:b/>
          <w:color w:val="auto"/>
          <w:sz w:val="21"/>
          <w:szCs w:val="21"/>
          <w:lang w:eastAsia="zh-CN"/>
        </w:rPr>
        <w:t>三、财务主管职责</w:t>
      </w:r>
      <w:r>
        <w:rPr>
          <w:rFonts w:ascii="宋体" w:hAnsi="宋体" w:eastAsia="宋体" w:cs="Times New Roman"/>
          <w:b/>
          <w:color w:val="auto"/>
          <w:sz w:val="21"/>
          <w:szCs w:val="21"/>
          <w:lang w:eastAsia="zh-CN"/>
        </w:rPr>
        <w:t xml:space="preserve"> </w:t>
      </w:r>
    </w:p>
    <w:p w14:paraId="3FBCF254">
      <w:pPr>
        <w:pStyle w:val="19"/>
        <w:rPr>
          <w:rFonts w:ascii="宋体" w:hAnsi="宋体" w:eastAsia="宋体" w:cs="Times New Roman"/>
          <w:color w:val="auto"/>
          <w:sz w:val="21"/>
          <w:szCs w:val="21"/>
          <w:lang w:eastAsia="zh-CN"/>
        </w:rPr>
      </w:pPr>
      <w:r>
        <w:rPr>
          <w:rFonts w:hint="eastAsia" w:ascii="宋体" w:hAnsi="宋体" w:eastAsia="宋体" w:cs="Times New Roman"/>
          <w:color w:val="auto"/>
          <w:sz w:val="21"/>
          <w:szCs w:val="21"/>
          <w:lang w:eastAsia="zh-CN"/>
        </w:rPr>
        <w:t>1.起草并修订《财务管理制度》；</w:t>
      </w:r>
      <w:r>
        <w:rPr>
          <w:rFonts w:ascii="宋体" w:hAnsi="宋体" w:eastAsia="宋体" w:cs="Times New Roman"/>
          <w:color w:val="auto"/>
          <w:sz w:val="21"/>
          <w:szCs w:val="21"/>
          <w:lang w:eastAsia="zh-CN"/>
        </w:rPr>
        <w:t xml:space="preserve"> </w:t>
      </w:r>
    </w:p>
    <w:p w14:paraId="33281486">
      <w:pPr>
        <w:pStyle w:val="19"/>
        <w:rPr>
          <w:rFonts w:ascii="宋体" w:hAnsi="宋体" w:eastAsia="宋体" w:cs="Times New Roman"/>
          <w:color w:val="auto"/>
          <w:sz w:val="21"/>
          <w:szCs w:val="21"/>
          <w:lang w:eastAsia="zh-CN"/>
        </w:rPr>
      </w:pPr>
      <w:r>
        <w:rPr>
          <w:rFonts w:hint="eastAsia" w:ascii="宋体" w:hAnsi="宋体" w:eastAsia="宋体" w:cs="Times New Roman"/>
          <w:color w:val="auto"/>
          <w:sz w:val="21"/>
          <w:szCs w:val="21"/>
          <w:lang w:eastAsia="zh-CN"/>
        </w:rPr>
        <w:t>2.设计《财务报告》和《预算》的内容框架；审阅《财务报告》及《预算》并上报给管理层、捐赠方、项目人员、税务局等相关方；</w:t>
      </w:r>
      <w:r>
        <w:rPr>
          <w:rFonts w:ascii="宋体" w:hAnsi="宋体" w:eastAsia="宋体" w:cs="Times New Roman"/>
          <w:color w:val="auto"/>
          <w:sz w:val="21"/>
          <w:szCs w:val="21"/>
          <w:lang w:eastAsia="zh-CN"/>
        </w:rPr>
        <w:t xml:space="preserve"> </w:t>
      </w:r>
    </w:p>
    <w:p w14:paraId="136D084D">
      <w:pPr>
        <w:pStyle w:val="19"/>
        <w:rPr>
          <w:rFonts w:ascii="宋体" w:hAnsi="宋体" w:eastAsia="宋体" w:cs="Times New Roman"/>
          <w:color w:val="auto"/>
          <w:sz w:val="21"/>
          <w:szCs w:val="21"/>
          <w:lang w:eastAsia="zh-CN"/>
        </w:rPr>
      </w:pPr>
      <w:r>
        <w:rPr>
          <w:rFonts w:hint="eastAsia" w:ascii="宋体" w:hAnsi="宋体" w:eastAsia="宋体" w:cs="Times New Roman"/>
          <w:color w:val="auto"/>
          <w:sz w:val="21"/>
          <w:szCs w:val="21"/>
          <w:lang w:eastAsia="zh-CN"/>
        </w:rPr>
        <w:t>3.与上述相关方沟通他们对财务的要求；</w:t>
      </w:r>
      <w:r>
        <w:rPr>
          <w:rFonts w:ascii="宋体" w:hAnsi="宋体" w:eastAsia="宋体" w:cs="Times New Roman"/>
          <w:color w:val="auto"/>
          <w:sz w:val="21"/>
          <w:szCs w:val="21"/>
          <w:lang w:eastAsia="zh-CN"/>
        </w:rPr>
        <w:t xml:space="preserve"> </w:t>
      </w:r>
    </w:p>
    <w:p w14:paraId="0C2C5153">
      <w:pPr>
        <w:pStyle w:val="19"/>
        <w:rPr>
          <w:rFonts w:ascii="宋体" w:hAnsi="宋体" w:eastAsia="宋体" w:cs="Times New Roman"/>
          <w:color w:val="auto"/>
          <w:sz w:val="21"/>
          <w:szCs w:val="21"/>
          <w:lang w:eastAsia="zh-CN"/>
        </w:rPr>
      </w:pPr>
      <w:r>
        <w:rPr>
          <w:rFonts w:hint="eastAsia" w:ascii="宋体" w:hAnsi="宋体" w:eastAsia="宋体" w:cs="Times New Roman"/>
          <w:color w:val="auto"/>
          <w:sz w:val="21"/>
          <w:szCs w:val="21"/>
          <w:lang w:eastAsia="zh-CN"/>
        </w:rPr>
        <w:t>4.了解组织的经营状况，参与组织的管理决策，并根据财务信息提供建设性的意见；</w:t>
      </w:r>
      <w:r>
        <w:rPr>
          <w:rFonts w:ascii="宋体" w:hAnsi="宋体" w:eastAsia="宋体" w:cs="Times New Roman"/>
          <w:color w:val="auto"/>
          <w:sz w:val="21"/>
          <w:szCs w:val="21"/>
          <w:lang w:eastAsia="zh-CN"/>
        </w:rPr>
        <w:t xml:space="preserve"> </w:t>
      </w:r>
    </w:p>
    <w:p w14:paraId="4CDE2488">
      <w:pPr>
        <w:pStyle w:val="19"/>
        <w:rPr>
          <w:rFonts w:ascii="宋体" w:hAnsi="宋体" w:eastAsia="宋体" w:cs="Times New Roman"/>
          <w:color w:val="auto"/>
          <w:sz w:val="21"/>
          <w:szCs w:val="21"/>
          <w:lang w:eastAsia="zh-CN"/>
        </w:rPr>
      </w:pPr>
      <w:r>
        <w:rPr>
          <w:rFonts w:hint="eastAsia" w:ascii="宋体" w:hAnsi="宋体" w:eastAsia="宋体" w:cs="Times New Roman"/>
          <w:color w:val="auto"/>
          <w:sz w:val="21"/>
          <w:szCs w:val="21"/>
          <w:lang w:eastAsia="zh-CN"/>
        </w:rPr>
        <w:t>5.掌握国家与财务有关的各项政策法规，并与管理层、财务人员及相关人分享。</w:t>
      </w:r>
      <w:r>
        <w:rPr>
          <w:rFonts w:ascii="宋体" w:hAnsi="宋体" w:eastAsia="宋体" w:cs="Times New Roman"/>
          <w:color w:val="auto"/>
          <w:sz w:val="21"/>
          <w:szCs w:val="21"/>
          <w:lang w:eastAsia="zh-CN"/>
        </w:rPr>
        <w:t xml:space="preserve"> </w:t>
      </w:r>
    </w:p>
    <w:p w14:paraId="01AF5B9E">
      <w:pPr>
        <w:pStyle w:val="19"/>
        <w:rPr>
          <w:rFonts w:ascii="宋体" w:hAnsi="宋体" w:eastAsia="宋体" w:cs="Times New Roman"/>
          <w:b/>
          <w:color w:val="auto"/>
          <w:sz w:val="21"/>
          <w:szCs w:val="21"/>
          <w:lang w:eastAsia="zh-CN"/>
        </w:rPr>
      </w:pPr>
      <w:r>
        <w:rPr>
          <w:rFonts w:hint="eastAsia" w:ascii="宋体" w:hAnsi="宋体" w:eastAsia="宋体" w:cs="Times New Roman"/>
          <w:b/>
          <w:color w:val="auto"/>
          <w:sz w:val="21"/>
          <w:szCs w:val="21"/>
          <w:lang w:eastAsia="zh-CN"/>
        </w:rPr>
        <w:t>四、会计职责</w:t>
      </w:r>
      <w:r>
        <w:rPr>
          <w:rFonts w:ascii="宋体" w:hAnsi="宋体" w:eastAsia="宋体" w:cs="Times New Roman"/>
          <w:b/>
          <w:color w:val="auto"/>
          <w:sz w:val="21"/>
          <w:szCs w:val="21"/>
          <w:lang w:eastAsia="zh-CN"/>
        </w:rPr>
        <w:t xml:space="preserve"> </w:t>
      </w:r>
    </w:p>
    <w:p w14:paraId="1FDD54A9">
      <w:pPr>
        <w:pStyle w:val="19"/>
        <w:rPr>
          <w:rFonts w:ascii="宋体" w:hAnsi="宋体" w:eastAsia="宋体" w:cs="Times New Roman"/>
          <w:color w:val="auto"/>
          <w:sz w:val="21"/>
          <w:szCs w:val="21"/>
          <w:lang w:eastAsia="zh-CN"/>
        </w:rPr>
      </w:pPr>
      <w:r>
        <w:rPr>
          <w:rFonts w:hint="eastAsia" w:ascii="宋体" w:hAnsi="宋体" w:eastAsia="宋体" w:cs="Times New Roman"/>
          <w:color w:val="auto"/>
          <w:sz w:val="21"/>
          <w:szCs w:val="21"/>
          <w:lang w:eastAsia="zh-CN"/>
        </w:rPr>
        <w:t>1.编制记账凭证、登记账簿；</w:t>
      </w:r>
      <w:r>
        <w:rPr>
          <w:rFonts w:ascii="宋体" w:hAnsi="宋体" w:eastAsia="宋体" w:cs="Times New Roman"/>
          <w:color w:val="auto"/>
          <w:sz w:val="21"/>
          <w:szCs w:val="21"/>
          <w:lang w:eastAsia="zh-CN"/>
        </w:rPr>
        <w:t xml:space="preserve"> </w:t>
      </w:r>
    </w:p>
    <w:p w14:paraId="5BC3A30B">
      <w:pPr>
        <w:pStyle w:val="19"/>
        <w:rPr>
          <w:rFonts w:ascii="宋体" w:hAnsi="宋体" w:eastAsia="宋体" w:cs="Times New Roman"/>
          <w:color w:val="auto"/>
          <w:sz w:val="21"/>
          <w:szCs w:val="21"/>
          <w:lang w:eastAsia="zh-CN"/>
        </w:rPr>
      </w:pPr>
      <w:r>
        <w:rPr>
          <w:rFonts w:hint="eastAsia" w:ascii="宋体" w:hAnsi="宋体" w:eastAsia="宋体" w:cs="Times New Roman"/>
          <w:color w:val="auto"/>
          <w:sz w:val="21"/>
          <w:szCs w:val="21"/>
          <w:lang w:eastAsia="zh-CN"/>
        </w:rPr>
        <w:t>2.编制《财务报告》和《预算》；</w:t>
      </w:r>
      <w:r>
        <w:rPr>
          <w:rFonts w:ascii="宋体" w:hAnsi="宋体" w:eastAsia="宋体" w:cs="Times New Roman"/>
          <w:color w:val="auto"/>
          <w:sz w:val="21"/>
          <w:szCs w:val="21"/>
          <w:lang w:eastAsia="zh-CN"/>
        </w:rPr>
        <w:t xml:space="preserve"> </w:t>
      </w:r>
    </w:p>
    <w:p w14:paraId="3AE1C576">
      <w:pPr>
        <w:pStyle w:val="19"/>
        <w:rPr>
          <w:rFonts w:ascii="宋体" w:hAnsi="宋体" w:eastAsia="宋体" w:cs="Times New Roman"/>
          <w:color w:val="auto"/>
          <w:sz w:val="21"/>
          <w:szCs w:val="21"/>
          <w:lang w:eastAsia="zh-CN"/>
        </w:rPr>
      </w:pPr>
      <w:r>
        <w:rPr>
          <w:rFonts w:hint="eastAsia" w:ascii="宋体" w:hAnsi="宋体" w:eastAsia="宋体" w:cs="Times New Roman"/>
          <w:color w:val="auto"/>
          <w:sz w:val="21"/>
          <w:szCs w:val="21"/>
          <w:lang w:eastAsia="zh-CN"/>
        </w:rPr>
        <w:t>3.报税；</w:t>
      </w:r>
      <w:r>
        <w:rPr>
          <w:rFonts w:ascii="宋体" w:hAnsi="宋体" w:eastAsia="宋体" w:cs="Times New Roman"/>
          <w:color w:val="auto"/>
          <w:sz w:val="21"/>
          <w:szCs w:val="21"/>
          <w:lang w:eastAsia="zh-CN"/>
        </w:rPr>
        <w:t xml:space="preserve"> </w:t>
      </w:r>
    </w:p>
    <w:p w14:paraId="1EF7B26A">
      <w:pPr>
        <w:pStyle w:val="19"/>
        <w:rPr>
          <w:rFonts w:ascii="宋体" w:hAnsi="宋体" w:eastAsia="宋体" w:cs="Times New Roman"/>
          <w:color w:val="auto"/>
          <w:sz w:val="21"/>
          <w:szCs w:val="21"/>
          <w:lang w:eastAsia="zh-CN"/>
        </w:rPr>
      </w:pPr>
      <w:r>
        <w:rPr>
          <w:rFonts w:hint="eastAsia" w:ascii="宋体" w:hAnsi="宋体" w:eastAsia="宋体" w:cs="Times New Roman"/>
          <w:color w:val="auto"/>
          <w:sz w:val="21"/>
          <w:szCs w:val="21"/>
          <w:lang w:eastAsia="zh-CN"/>
        </w:rPr>
        <w:t>4.审阅出纳工作。</w:t>
      </w:r>
      <w:r>
        <w:rPr>
          <w:rFonts w:ascii="宋体" w:hAnsi="宋体" w:eastAsia="宋体" w:cs="Times New Roman"/>
          <w:color w:val="auto"/>
          <w:sz w:val="21"/>
          <w:szCs w:val="21"/>
          <w:lang w:eastAsia="zh-CN"/>
        </w:rPr>
        <w:t xml:space="preserve"> </w:t>
      </w:r>
    </w:p>
    <w:p w14:paraId="6921C2CE">
      <w:pPr>
        <w:pStyle w:val="19"/>
        <w:rPr>
          <w:rFonts w:ascii="宋体" w:hAnsi="宋体" w:eastAsia="宋体" w:cs="Times New Roman"/>
          <w:b/>
          <w:color w:val="auto"/>
          <w:sz w:val="21"/>
          <w:szCs w:val="21"/>
          <w:lang w:eastAsia="zh-CN"/>
        </w:rPr>
      </w:pPr>
      <w:r>
        <w:rPr>
          <w:rFonts w:hint="eastAsia" w:ascii="宋体" w:hAnsi="宋体" w:eastAsia="宋体" w:cs="Times New Roman"/>
          <w:b/>
          <w:color w:val="auto"/>
          <w:sz w:val="21"/>
          <w:szCs w:val="21"/>
          <w:lang w:eastAsia="zh-CN"/>
        </w:rPr>
        <w:t>五、出纳职责</w:t>
      </w:r>
      <w:r>
        <w:rPr>
          <w:rFonts w:ascii="宋体" w:hAnsi="宋体" w:eastAsia="宋体" w:cs="Times New Roman"/>
          <w:b/>
          <w:color w:val="auto"/>
          <w:sz w:val="21"/>
          <w:szCs w:val="21"/>
          <w:lang w:eastAsia="zh-CN"/>
        </w:rPr>
        <w:t xml:space="preserve"> </w:t>
      </w:r>
    </w:p>
    <w:p w14:paraId="0C9D310F">
      <w:pPr>
        <w:pStyle w:val="19"/>
        <w:rPr>
          <w:rFonts w:ascii="宋体" w:hAnsi="宋体" w:eastAsia="宋体" w:cs="Times New Roman"/>
          <w:color w:val="auto"/>
          <w:sz w:val="21"/>
          <w:szCs w:val="21"/>
          <w:lang w:eastAsia="zh-CN"/>
        </w:rPr>
      </w:pPr>
      <w:r>
        <w:rPr>
          <w:rFonts w:hint="eastAsia" w:ascii="宋体" w:hAnsi="宋体" w:eastAsia="宋体" w:cs="Times New Roman"/>
          <w:color w:val="auto"/>
          <w:sz w:val="21"/>
          <w:szCs w:val="21"/>
          <w:lang w:eastAsia="zh-CN"/>
        </w:rPr>
        <w:t>1.登记《现金日记账》和《银行日记账》；</w:t>
      </w:r>
      <w:r>
        <w:rPr>
          <w:rFonts w:ascii="宋体" w:hAnsi="宋体" w:eastAsia="宋体" w:cs="Times New Roman"/>
          <w:color w:val="auto"/>
          <w:sz w:val="21"/>
          <w:szCs w:val="21"/>
          <w:lang w:eastAsia="zh-CN"/>
        </w:rPr>
        <w:t xml:space="preserve"> </w:t>
      </w:r>
    </w:p>
    <w:p w14:paraId="3096071B">
      <w:pPr>
        <w:pStyle w:val="19"/>
        <w:rPr>
          <w:rFonts w:ascii="宋体" w:hAnsi="宋体" w:eastAsia="宋体" w:cs="Times New Roman"/>
          <w:color w:val="auto"/>
          <w:sz w:val="21"/>
          <w:szCs w:val="21"/>
          <w:lang w:eastAsia="zh-CN"/>
        </w:rPr>
      </w:pPr>
      <w:r>
        <w:rPr>
          <w:rFonts w:hint="eastAsia" w:ascii="宋体" w:hAnsi="宋体" w:eastAsia="宋体" w:cs="Times New Roman"/>
          <w:color w:val="auto"/>
          <w:sz w:val="21"/>
          <w:szCs w:val="21"/>
          <w:lang w:eastAsia="zh-CN"/>
        </w:rPr>
        <w:t>2.编制《现金盘点表》和《银行余额调节表》；</w:t>
      </w:r>
      <w:r>
        <w:rPr>
          <w:rFonts w:ascii="宋体" w:hAnsi="宋体" w:eastAsia="宋体" w:cs="Times New Roman"/>
          <w:color w:val="auto"/>
          <w:sz w:val="21"/>
          <w:szCs w:val="21"/>
          <w:lang w:eastAsia="zh-CN"/>
        </w:rPr>
        <w:t xml:space="preserve"> </w:t>
      </w:r>
    </w:p>
    <w:p w14:paraId="5BFFEA51">
      <w:pPr>
        <w:pStyle w:val="19"/>
        <w:rPr>
          <w:rFonts w:ascii="宋体" w:hAnsi="宋体" w:eastAsia="宋体" w:cs="Times New Roman"/>
          <w:color w:val="auto"/>
          <w:sz w:val="21"/>
          <w:szCs w:val="21"/>
          <w:lang w:eastAsia="zh-CN"/>
        </w:rPr>
      </w:pPr>
      <w:r>
        <w:rPr>
          <w:rFonts w:hint="eastAsia" w:ascii="宋体" w:hAnsi="宋体" w:eastAsia="宋体" w:cs="Times New Roman"/>
          <w:color w:val="auto"/>
          <w:sz w:val="21"/>
          <w:szCs w:val="21"/>
          <w:lang w:eastAsia="zh-CN"/>
        </w:rPr>
        <w:t>3.收取现金或银行存款，开具收款票据；</w:t>
      </w:r>
      <w:r>
        <w:rPr>
          <w:rFonts w:ascii="宋体" w:hAnsi="宋体" w:eastAsia="宋体" w:cs="Times New Roman"/>
          <w:color w:val="auto"/>
          <w:sz w:val="21"/>
          <w:szCs w:val="21"/>
          <w:lang w:eastAsia="zh-CN"/>
        </w:rPr>
        <w:t xml:space="preserve"> </w:t>
      </w:r>
    </w:p>
    <w:p w14:paraId="1A30090C">
      <w:pPr>
        <w:pStyle w:val="19"/>
        <w:rPr>
          <w:rFonts w:ascii="宋体" w:hAnsi="宋体" w:eastAsia="宋体" w:cs="Times New Roman"/>
          <w:color w:val="auto"/>
          <w:sz w:val="21"/>
          <w:szCs w:val="21"/>
          <w:lang w:eastAsia="zh-CN"/>
        </w:rPr>
      </w:pPr>
      <w:r>
        <w:rPr>
          <w:rFonts w:hint="eastAsia" w:ascii="宋体" w:hAnsi="宋体" w:eastAsia="宋体" w:cs="Times New Roman"/>
          <w:color w:val="auto"/>
          <w:sz w:val="21"/>
          <w:szCs w:val="21"/>
          <w:lang w:eastAsia="zh-CN"/>
        </w:rPr>
        <w:t>4.提取现金、支付费用。</w:t>
      </w:r>
    </w:p>
    <w:p w14:paraId="4EE49318">
      <w:pPr>
        <w:pStyle w:val="2"/>
        <w:spacing w:line="240" w:lineRule="auto"/>
        <w:jc w:val="center"/>
      </w:pPr>
      <w:bookmarkStart w:id="14" w:name="_Toc320197026"/>
      <w:r>
        <w:br w:type="page"/>
      </w:r>
      <w:r>
        <w:rPr>
          <w:rFonts w:hint="eastAsia"/>
        </w:rPr>
        <w:t>第九章 理事会财务职责</w:t>
      </w:r>
      <w:bookmarkEnd w:id="14"/>
    </w:p>
    <w:p w14:paraId="1E9020D7">
      <w:pPr>
        <w:autoSpaceDE w:val="0"/>
        <w:autoSpaceDN w:val="0"/>
        <w:adjustRightInd w:val="0"/>
        <w:jc w:val="left"/>
        <w:rPr>
          <w:rFonts w:ascii="宋体" w:hAnsi="宋体" w:cs="穝灿砰"/>
          <w:kern w:val="0"/>
          <w:szCs w:val="21"/>
        </w:rPr>
      </w:pPr>
      <w:r>
        <w:rPr>
          <w:rFonts w:hint="eastAsia" w:ascii="宋体" w:hAnsi="宋体" w:cs="穝灿砰"/>
          <w:kern w:val="0"/>
          <w:szCs w:val="21"/>
        </w:rPr>
        <w:t>一</w:t>
      </w:r>
      <w:r>
        <w:rPr>
          <w:rFonts w:hint="eastAsia" w:ascii="宋体" w:hAnsi="宋体"/>
          <w:b/>
          <w:szCs w:val="21"/>
        </w:rPr>
        <w:t>、理事会财务功能</w:t>
      </w:r>
    </w:p>
    <w:p w14:paraId="0EB9D6AD">
      <w:pPr>
        <w:pStyle w:val="19"/>
        <w:rPr>
          <w:rFonts w:ascii="宋体" w:hAnsi="宋体" w:eastAsia="宋体" w:cs="Times New Roman"/>
          <w:color w:val="auto"/>
          <w:sz w:val="21"/>
          <w:szCs w:val="21"/>
          <w:lang w:eastAsia="zh-CN"/>
        </w:rPr>
      </w:pPr>
      <w:r>
        <w:rPr>
          <w:rFonts w:ascii="宋体" w:hAnsi="宋体" w:eastAsia="宋体" w:cs="Times New Roman"/>
          <w:color w:val="auto"/>
          <w:sz w:val="21"/>
          <w:szCs w:val="21"/>
          <w:lang w:eastAsia="zh-CN"/>
        </w:rPr>
        <w:t>1</w:t>
      </w:r>
      <w:r>
        <w:rPr>
          <w:rFonts w:hint="eastAsia" w:ascii="宋体" w:hAnsi="宋体" w:eastAsia="宋体" w:cs="Times New Roman"/>
          <w:color w:val="auto"/>
          <w:sz w:val="21"/>
          <w:szCs w:val="21"/>
          <w:lang w:eastAsia="zh-CN"/>
        </w:rPr>
        <w:t>.理事会在保持适当的财务流程方面承担相应的责任,</w:t>
      </w:r>
      <w:r>
        <w:rPr>
          <w:rFonts w:ascii="宋体" w:hAnsi="宋体" w:eastAsia="宋体" w:cs="Times New Roman"/>
          <w:color w:val="auto"/>
          <w:sz w:val="21"/>
          <w:szCs w:val="21"/>
          <w:lang w:eastAsia="zh-CN"/>
        </w:rPr>
        <w:t xml:space="preserve"> </w:t>
      </w:r>
      <w:r>
        <w:rPr>
          <w:rFonts w:hint="eastAsia" w:ascii="宋体" w:hAnsi="宋体" w:eastAsia="宋体" w:cs="Times New Roman"/>
          <w:color w:val="auto"/>
          <w:sz w:val="21"/>
          <w:szCs w:val="21"/>
          <w:lang w:eastAsia="zh-CN"/>
        </w:rPr>
        <w:t>以确保基金会之营运能量入为出、及兼具效率与诚信。</w:t>
      </w:r>
    </w:p>
    <w:p w14:paraId="27286AE9">
      <w:pPr>
        <w:pStyle w:val="19"/>
        <w:rPr>
          <w:rFonts w:ascii="宋体" w:hAnsi="宋体" w:eastAsia="宋体" w:cs="Times New Roman"/>
          <w:color w:val="auto"/>
          <w:sz w:val="21"/>
          <w:szCs w:val="21"/>
          <w:lang w:eastAsia="zh-CN"/>
        </w:rPr>
      </w:pPr>
      <w:r>
        <w:rPr>
          <w:rFonts w:hint="eastAsia" w:ascii="宋体" w:hAnsi="宋体" w:eastAsia="宋体" w:cs="Times New Roman"/>
          <w:color w:val="auto"/>
          <w:sz w:val="21"/>
          <w:szCs w:val="21"/>
          <w:lang w:eastAsia="zh-CN"/>
        </w:rPr>
        <w:t>2.坚守财务责任是理事会一项重要的管治职责。理事会应《基金会管理条例》等制度核定资金核算及支出报告方面的法定要求。</w:t>
      </w:r>
    </w:p>
    <w:p w14:paraId="779B72E7">
      <w:pPr>
        <w:pStyle w:val="19"/>
        <w:rPr>
          <w:rFonts w:ascii="宋体" w:hAnsi="宋体" w:eastAsia="宋体" w:cs="Times New Roman"/>
          <w:color w:val="auto"/>
          <w:sz w:val="21"/>
          <w:szCs w:val="21"/>
          <w:lang w:eastAsia="zh-CN"/>
        </w:rPr>
      </w:pPr>
      <w:r>
        <w:rPr>
          <w:rFonts w:ascii="宋体" w:hAnsi="宋体" w:eastAsia="宋体" w:cs="Times New Roman"/>
          <w:color w:val="auto"/>
          <w:sz w:val="21"/>
          <w:szCs w:val="21"/>
          <w:lang w:eastAsia="zh-CN"/>
        </w:rPr>
        <w:t>3</w:t>
      </w:r>
      <w:r>
        <w:rPr>
          <w:rFonts w:hint="eastAsia" w:ascii="宋体" w:hAnsi="宋体" w:eastAsia="宋体" w:cs="Times New Roman"/>
          <w:color w:val="auto"/>
          <w:sz w:val="21"/>
          <w:szCs w:val="21"/>
          <w:lang w:eastAsia="zh-CN"/>
        </w:rPr>
        <w:t>.理事们须知悉理事会应关注基金会财务之重要性，及充分了解和知悉当前及预测的财务状况。</w:t>
      </w:r>
    </w:p>
    <w:p w14:paraId="7D6A65F0">
      <w:pPr>
        <w:pStyle w:val="19"/>
        <w:rPr>
          <w:rFonts w:ascii="宋体" w:hAnsi="宋体" w:eastAsia="宋体" w:cs="Times New Roman"/>
          <w:color w:val="auto"/>
          <w:sz w:val="21"/>
          <w:szCs w:val="21"/>
          <w:lang w:eastAsia="zh-CN"/>
        </w:rPr>
      </w:pPr>
      <w:r>
        <w:rPr>
          <w:rFonts w:ascii="宋体" w:hAnsi="宋体" w:eastAsia="宋体" w:cs="Times New Roman"/>
          <w:color w:val="auto"/>
          <w:sz w:val="21"/>
          <w:szCs w:val="21"/>
          <w:lang w:eastAsia="zh-CN"/>
        </w:rPr>
        <w:t>4.</w:t>
      </w:r>
      <w:r>
        <w:rPr>
          <w:rFonts w:hint="eastAsia" w:ascii="宋体" w:hAnsi="宋体" w:eastAsia="宋体" w:cs="Times New Roman"/>
          <w:color w:val="auto"/>
          <w:sz w:val="21"/>
          <w:szCs w:val="21"/>
          <w:lang w:eastAsia="zh-CN"/>
        </w:rPr>
        <w:t>理事会承担的主要财务功能为：</w:t>
      </w:r>
    </w:p>
    <w:p w14:paraId="785507AC">
      <w:pPr>
        <w:pStyle w:val="19"/>
        <w:rPr>
          <w:rFonts w:ascii="宋体" w:hAnsi="宋体" w:eastAsia="宋体" w:cs="Times New Roman"/>
          <w:color w:val="auto"/>
          <w:sz w:val="21"/>
          <w:szCs w:val="21"/>
          <w:lang w:eastAsia="zh-CN"/>
        </w:rPr>
      </w:pPr>
      <w:r>
        <w:rPr>
          <w:rFonts w:ascii="宋体" w:hAnsi="宋体" w:eastAsia="宋体" w:cs="Times New Roman"/>
          <w:color w:val="auto"/>
          <w:sz w:val="21"/>
          <w:szCs w:val="21"/>
          <w:lang w:eastAsia="zh-CN"/>
        </w:rPr>
        <w:t xml:space="preserve">(a) </w:t>
      </w:r>
      <w:r>
        <w:rPr>
          <w:rFonts w:hint="eastAsia" w:ascii="宋体" w:hAnsi="宋体" w:eastAsia="宋体" w:cs="Times New Roman"/>
          <w:color w:val="auto"/>
          <w:sz w:val="21"/>
          <w:szCs w:val="21"/>
          <w:lang w:eastAsia="zh-CN"/>
        </w:rPr>
        <w:t>审批反映基金会优先次序的财政预算，该等预算应以资源、成本及其他因素的合理假设，作为基础；</w:t>
      </w:r>
    </w:p>
    <w:p w14:paraId="62F7CB08">
      <w:pPr>
        <w:pStyle w:val="19"/>
        <w:rPr>
          <w:rFonts w:ascii="宋体" w:hAnsi="宋体" w:eastAsia="宋体" w:cs="Times New Roman"/>
          <w:color w:val="auto"/>
          <w:sz w:val="21"/>
          <w:szCs w:val="21"/>
          <w:lang w:eastAsia="zh-CN"/>
        </w:rPr>
      </w:pPr>
      <w:r>
        <w:rPr>
          <w:rFonts w:ascii="宋体" w:hAnsi="宋体" w:eastAsia="宋体" w:cs="Times New Roman"/>
          <w:color w:val="auto"/>
          <w:sz w:val="21"/>
          <w:szCs w:val="21"/>
          <w:lang w:eastAsia="zh-CN"/>
        </w:rPr>
        <w:t xml:space="preserve">(b) </w:t>
      </w:r>
      <w:r>
        <w:rPr>
          <w:rFonts w:hint="eastAsia" w:ascii="宋体" w:hAnsi="宋体" w:eastAsia="宋体" w:cs="Times New Roman"/>
          <w:color w:val="auto"/>
          <w:sz w:val="21"/>
          <w:szCs w:val="21"/>
          <w:lang w:eastAsia="zh-CN"/>
        </w:rPr>
        <w:t>按合适的会计程序监督及管控开支,每次理事会会议上接收最新的财务报表及预留充足时间予以考虑；</w:t>
      </w:r>
    </w:p>
    <w:p w14:paraId="0A692FF1">
      <w:pPr>
        <w:pStyle w:val="19"/>
        <w:rPr>
          <w:rFonts w:ascii="宋体" w:hAnsi="宋体" w:eastAsia="宋体" w:cs="Times New Roman"/>
          <w:color w:val="auto"/>
          <w:sz w:val="21"/>
          <w:szCs w:val="21"/>
          <w:lang w:eastAsia="zh-CN"/>
        </w:rPr>
      </w:pPr>
      <w:r>
        <w:rPr>
          <w:rFonts w:ascii="宋体" w:hAnsi="宋体" w:eastAsia="宋体" w:cs="Times New Roman"/>
          <w:color w:val="auto"/>
          <w:sz w:val="21"/>
          <w:szCs w:val="21"/>
          <w:lang w:eastAsia="zh-CN"/>
        </w:rPr>
        <w:t xml:space="preserve">(c) </w:t>
      </w:r>
      <w:r>
        <w:rPr>
          <w:rFonts w:hint="eastAsia" w:ascii="宋体" w:hAnsi="宋体" w:eastAsia="宋体" w:cs="Times New Roman"/>
          <w:color w:val="auto"/>
          <w:sz w:val="21"/>
          <w:szCs w:val="21"/>
          <w:lang w:eastAsia="zh-CN"/>
        </w:rPr>
        <w:t>监督机构对其资产及负债管理的情况；</w:t>
      </w:r>
    </w:p>
    <w:p w14:paraId="5F56CDFF">
      <w:pPr>
        <w:pStyle w:val="19"/>
        <w:rPr>
          <w:rFonts w:ascii="宋体" w:hAnsi="宋体" w:cs="穝灿砰"/>
          <w:color w:val="auto"/>
          <w:sz w:val="21"/>
          <w:szCs w:val="21"/>
          <w:lang w:eastAsia="zh-CN"/>
        </w:rPr>
      </w:pPr>
      <w:r>
        <w:rPr>
          <w:rFonts w:ascii="宋体" w:hAnsi="宋体" w:eastAsia="宋体" w:cs="Times New Roman"/>
          <w:color w:val="auto"/>
          <w:sz w:val="21"/>
          <w:szCs w:val="21"/>
          <w:lang w:eastAsia="zh-CN"/>
        </w:rPr>
        <w:t xml:space="preserve">(d) </w:t>
      </w:r>
      <w:r>
        <w:rPr>
          <w:rFonts w:hint="eastAsia" w:ascii="宋体" w:hAnsi="宋体" w:eastAsia="宋体" w:cs="Times New Roman"/>
          <w:color w:val="auto"/>
          <w:sz w:val="21"/>
          <w:szCs w:val="21"/>
          <w:lang w:eastAsia="zh-CN"/>
        </w:rPr>
        <w:t>审批年报，包括财务报表。</w:t>
      </w:r>
    </w:p>
    <w:p w14:paraId="06F78142">
      <w:pPr>
        <w:autoSpaceDE w:val="0"/>
        <w:autoSpaceDN w:val="0"/>
        <w:adjustRightInd w:val="0"/>
        <w:jc w:val="left"/>
        <w:rPr>
          <w:rFonts w:ascii="宋体" w:hAnsi="宋体" w:cs="穝灿砰"/>
          <w:b/>
          <w:kern w:val="0"/>
          <w:szCs w:val="21"/>
        </w:rPr>
      </w:pPr>
      <w:r>
        <w:rPr>
          <w:rFonts w:hint="eastAsia" w:ascii="宋体" w:hAnsi="宋体" w:cs="穝灿砰"/>
          <w:b/>
          <w:kern w:val="0"/>
          <w:szCs w:val="21"/>
        </w:rPr>
        <w:t>二、理事会财务管理责任的基本要求</w:t>
      </w:r>
    </w:p>
    <w:p w14:paraId="16E9BE0F">
      <w:pPr>
        <w:autoSpaceDE w:val="0"/>
        <w:autoSpaceDN w:val="0"/>
        <w:adjustRightInd w:val="0"/>
        <w:jc w:val="left"/>
        <w:rPr>
          <w:rFonts w:ascii="宋体" w:hAnsi="宋体" w:cs="穝灿砰"/>
          <w:kern w:val="0"/>
          <w:szCs w:val="21"/>
        </w:rPr>
      </w:pPr>
      <w:r>
        <w:rPr>
          <w:rFonts w:hint="eastAsia" w:ascii="宋体" w:hAnsi="宋体" w:cs="穝灿砰"/>
          <w:kern w:val="0"/>
          <w:szCs w:val="21"/>
        </w:rPr>
        <w:t>1.以下列出理事会财务管理责任的基本要求：</w:t>
      </w:r>
    </w:p>
    <w:p w14:paraId="7535C017">
      <w:pPr>
        <w:autoSpaceDE w:val="0"/>
        <w:autoSpaceDN w:val="0"/>
        <w:adjustRightInd w:val="0"/>
        <w:jc w:val="left"/>
        <w:rPr>
          <w:rFonts w:ascii="宋体" w:hAnsi="宋体" w:cs="穝灿砰"/>
          <w:kern w:val="0"/>
          <w:szCs w:val="21"/>
        </w:rPr>
      </w:pPr>
      <w:r>
        <w:rPr>
          <w:rFonts w:ascii="宋体" w:hAnsi="宋体" w:cs="穝灿砰"/>
          <w:kern w:val="0"/>
          <w:szCs w:val="21"/>
        </w:rPr>
        <w:t xml:space="preserve">(a) </w:t>
      </w:r>
      <w:r>
        <w:rPr>
          <w:rFonts w:hint="eastAsia" w:ascii="宋体" w:hAnsi="宋体" w:cs="穝灿砰"/>
          <w:kern w:val="0"/>
          <w:szCs w:val="21"/>
        </w:rPr>
        <w:t>机构须根据经由理事会批核之年度财政预算运作。</w:t>
      </w:r>
    </w:p>
    <w:p w14:paraId="2C5BC120">
      <w:pPr>
        <w:autoSpaceDE w:val="0"/>
        <w:autoSpaceDN w:val="0"/>
        <w:adjustRightInd w:val="0"/>
        <w:jc w:val="left"/>
        <w:rPr>
          <w:rFonts w:ascii="宋体" w:hAnsi="宋体" w:cs="穝灿砰"/>
          <w:kern w:val="0"/>
          <w:szCs w:val="21"/>
        </w:rPr>
      </w:pPr>
      <w:r>
        <w:rPr>
          <w:rFonts w:ascii="宋体" w:hAnsi="宋体" w:cs="穝灿砰"/>
          <w:kern w:val="0"/>
          <w:szCs w:val="21"/>
        </w:rPr>
        <w:t xml:space="preserve">(b) </w:t>
      </w:r>
      <w:r>
        <w:rPr>
          <w:rFonts w:hint="eastAsia" w:ascii="宋体" w:hAnsi="宋体" w:cs="穝灿砰"/>
          <w:kern w:val="0"/>
          <w:szCs w:val="21"/>
        </w:rPr>
        <w:t>所编制的财务报告须适时及准确反映机构的财务活动，以及可令理事会就财务表现作出监察。</w:t>
      </w:r>
    </w:p>
    <w:p w14:paraId="3C7557CF">
      <w:pPr>
        <w:autoSpaceDE w:val="0"/>
        <w:autoSpaceDN w:val="0"/>
        <w:adjustRightInd w:val="0"/>
        <w:jc w:val="left"/>
        <w:rPr>
          <w:rFonts w:ascii="宋体" w:hAnsi="宋体" w:cs="穝灿砰"/>
          <w:kern w:val="0"/>
          <w:szCs w:val="21"/>
        </w:rPr>
      </w:pPr>
      <w:r>
        <w:rPr>
          <w:rFonts w:ascii="宋体" w:hAnsi="宋体" w:cs="穝灿砰"/>
          <w:kern w:val="0"/>
          <w:szCs w:val="21"/>
        </w:rPr>
        <w:t xml:space="preserve">(c) </w:t>
      </w:r>
      <w:r>
        <w:rPr>
          <w:rFonts w:hint="eastAsia" w:ascii="宋体" w:hAnsi="宋体" w:cs="穝灿砰"/>
          <w:kern w:val="0"/>
          <w:szCs w:val="21"/>
        </w:rPr>
        <w:t>财务报告的准确性须受外间的执业会计师审核。</w:t>
      </w:r>
    </w:p>
    <w:p w14:paraId="688BA530">
      <w:pPr>
        <w:autoSpaceDE w:val="0"/>
        <w:autoSpaceDN w:val="0"/>
        <w:adjustRightInd w:val="0"/>
        <w:jc w:val="left"/>
        <w:rPr>
          <w:rFonts w:ascii="宋体" w:hAnsi="宋体" w:cs="穝灿砰"/>
          <w:kern w:val="0"/>
          <w:szCs w:val="21"/>
        </w:rPr>
      </w:pPr>
      <w:r>
        <w:rPr>
          <w:rFonts w:ascii="宋体" w:hAnsi="宋体" w:cs="穝灿砰"/>
          <w:kern w:val="0"/>
          <w:szCs w:val="21"/>
        </w:rPr>
        <w:t xml:space="preserve">(d) </w:t>
      </w:r>
      <w:r>
        <w:rPr>
          <w:rFonts w:hint="eastAsia" w:ascii="宋体" w:hAnsi="宋体" w:cs="宋体"/>
          <w:kern w:val="0"/>
          <w:szCs w:val="21"/>
        </w:rPr>
        <w:t>内</w:t>
      </w:r>
      <w:r>
        <w:rPr>
          <w:rFonts w:hint="eastAsia" w:ascii="宋体" w:hAnsi="宋体" w:cs="方正姚体"/>
          <w:kern w:val="0"/>
          <w:szCs w:val="21"/>
        </w:rPr>
        <w:t>部财务报表须每一季度最少编制一次和呈交</w:t>
      </w:r>
      <w:r>
        <w:rPr>
          <w:rFonts w:hint="eastAsia" w:ascii="宋体" w:hAnsi="宋体" w:cs="穝灿砰"/>
          <w:kern w:val="0"/>
          <w:szCs w:val="21"/>
        </w:rPr>
        <w:t>理事会。报表应指出所有实际与预算收支的重大差异和予以解释。理事会须正式确认财务报表，或否</w:t>
      </w:r>
      <w:r>
        <w:rPr>
          <w:rFonts w:hint="eastAsia" w:ascii="宋体" w:hAnsi="宋体" w:cs="宋体"/>
          <w:kern w:val="0"/>
          <w:szCs w:val="21"/>
        </w:rPr>
        <w:t>决</w:t>
      </w:r>
      <w:r>
        <w:rPr>
          <w:rFonts w:hint="eastAsia" w:ascii="宋体" w:hAnsi="宋体" w:cs="方正姚体"/>
          <w:kern w:val="0"/>
          <w:szCs w:val="21"/>
        </w:rPr>
        <w:t>不妥当的报表。</w:t>
      </w:r>
    </w:p>
    <w:p w14:paraId="5259EE09">
      <w:pPr>
        <w:autoSpaceDE w:val="0"/>
        <w:autoSpaceDN w:val="0"/>
        <w:adjustRightInd w:val="0"/>
        <w:jc w:val="left"/>
        <w:rPr>
          <w:rFonts w:ascii="宋体" w:hAnsi="宋体" w:cs="穝灿砰"/>
          <w:kern w:val="0"/>
          <w:szCs w:val="21"/>
        </w:rPr>
      </w:pPr>
      <w:r>
        <w:rPr>
          <w:rFonts w:ascii="宋体" w:hAnsi="宋体" w:cs="穝灿砰"/>
          <w:kern w:val="0"/>
          <w:szCs w:val="21"/>
        </w:rPr>
        <w:t xml:space="preserve">(e) </w:t>
      </w:r>
      <w:r>
        <w:rPr>
          <w:rFonts w:hint="eastAsia" w:ascii="宋体" w:hAnsi="宋体" w:cs="穝灿砰"/>
          <w:kern w:val="0"/>
          <w:szCs w:val="21"/>
        </w:rPr>
        <w:t>理事会应</w:t>
      </w:r>
      <w:r>
        <w:rPr>
          <w:rFonts w:hint="eastAsia" w:ascii="宋体" w:hAnsi="宋体" w:cs="宋体"/>
          <w:kern w:val="0"/>
          <w:szCs w:val="21"/>
        </w:rPr>
        <w:t>为</w:t>
      </w:r>
      <w:r>
        <w:rPr>
          <w:rFonts w:hint="eastAsia" w:ascii="宋体" w:hAnsi="宋体" w:cs="方正姚体"/>
          <w:kern w:val="0"/>
          <w:szCs w:val="21"/>
        </w:rPr>
        <w:t>员工提供保密的途径，</w:t>
      </w:r>
      <w:r>
        <w:rPr>
          <w:rFonts w:ascii="宋体" w:hAnsi="宋体" w:cs="穝灿砰"/>
          <w:kern w:val="0"/>
          <w:szCs w:val="21"/>
        </w:rPr>
        <w:t xml:space="preserve"> </w:t>
      </w:r>
      <w:r>
        <w:rPr>
          <w:rFonts w:hint="eastAsia" w:ascii="宋体" w:hAnsi="宋体" w:cs="穝灿砰"/>
          <w:kern w:val="0"/>
          <w:szCs w:val="21"/>
        </w:rPr>
        <w:t>以揭露怀疑滥用机构资源或不当的财务行</w:t>
      </w:r>
      <w:r>
        <w:rPr>
          <w:rFonts w:hint="eastAsia" w:ascii="宋体" w:hAnsi="宋体" w:cs="宋体"/>
          <w:kern w:val="0"/>
          <w:szCs w:val="21"/>
        </w:rPr>
        <w:t>为</w:t>
      </w:r>
      <w:r>
        <w:rPr>
          <w:rFonts w:hint="eastAsia" w:ascii="宋体" w:hAnsi="宋体" w:cs="方正姚体"/>
          <w:kern w:val="0"/>
          <w:szCs w:val="21"/>
        </w:rPr>
        <w:t>。</w:t>
      </w:r>
    </w:p>
    <w:p w14:paraId="6EBA7A6F">
      <w:pPr>
        <w:autoSpaceDE w:val="0"/>
        <w:autoSpaceDN w:val="0"/>
        <w:adjustRightInd w:val="0"/>
        <w:jc w:val="left"/>
        <w:rPr>
          <w:rFonts w:ascii="宋体" w:hAnsi="宋体" w:cs="穝灿砰"/>
          <w:kern w:val="0"/>
          <w:szCs w:val="21"/>
        </w:rPr>
      </w:pPr>
      <w:r>
        <w:rPr>
          <w:rFonts w:ascii="宋体" w:hAnsi="宋体" w:cs="穝灿砰"/>
          <w:kern w:val="0"/>
          <w:szCs w:val="21"/>
        </w:rPr>
        <w:t xml:space="preserve">(f) </w:t>
      </w:r>
      <w:r>
        <w:rPr>
          <w:rFonts w:hint="eastAsia" w:ascii="宋体" w:hAnsi="宋体" w:cs="穝灿砰"/>
          <w:kern w:val="0"/>
          <w:szCs w:val="21"/>
        </w:rPr>
        <w:t>理事会须制订书面政策以规管机构资</w:t>
      </w:r>
      <w:r>
        <w:rPr>
          <w:rFonts w:hint="eastAsia" w:ascii="宋体" w:hAnsi="宋体" w:cs="宋体"/>
          <w:kern w:val="0"/>
          <w:szCs w:val="21"/>
        </w:rPr>
        <w:t>产</w:t>
      </w:r>
      <w:r>
        <w:rPr>
          <w:rFonts w:hint="eastAsia" w:ascii="宋体" w:hAnsi="宋体" w:cs="方正姚体"/>
          <w:kern w:val="0"/>
          <w:szCs w:val="21"/>
        </w:rPr>
        <w:t>的投资、</w:t>
      </w:r>
      <w:r>
        <w:rPr>
          <w:rFonts w:hint="eastAsia" w:ascii="宋体" w:hAnsi="宋体" w:cs="宋体"/>
          <w:kern w:val="0"/>
          <w:szCs w:val="21"/>
        </w:rPr>
        <w:t>内</w:t>
      </w:r>
      <w:r>
        <w:rPr>
          <w:rFonts w:hint="eastAsia" w:ascii="宋体" w:hAnsi="宋体" w:cs="方正姚体"/>
          <w:kern w:val="0"/>
          <w:szCs w:val="21"/>
        </w:rPr>
        <w:t>部监控程序、</w:t>
      </w:r>
      <w:r>
        <w:rPr>
          <w:rFonts w:hint="eastAsia" w:ascii="宋体" w:hAnsi="宋体" w:cs="穝灿砰"/>
          <w:kern w:val="0"/>
          <w:szCs w:val="21"/>
        </w:rPr>
        <w:t>采购措施和储备基金。</w:t>
      </w:r>
    </w:p>
    <w:p w14:paraId="3754C89C">
      <w:pPr>
        <w:pStyle w:val="2"/>
        <w:spacing w:line="240" w:lineRule="auto"/>
        <w:jc w:val="left"/>
        <w:rPr>
          <w:sz w:val="28"/>
          <w:szCs w:val="28"/>
        </w:rPr>
      </w:pPr>
      <w:bookmarkStart w:id="15" w:name="_Toc320197027"/>
      <w:r>
        <w:br w:type="page"/>
      </w:r>
      <w:r>
        <w:rPr>
          <w:rFonts w:hint="eastAsia"/>
          <w:sz w:val="28"/>
          <w:szCs w:val="28"/>
        </w:rPr>
        <w:t>附一：</w:t>
      </w:r>
      <w:r>
        <w:rPr>
          <w:rFonts w:ascii="宋体" w:hAnsi="宋体" w:cs="宋体"/>
          <w:spacing w:val="2"/>
          <w:sz w:val="28"/>
          <w:szCs w:val="28"/>
        </w:rPr>
        <w:t>银行提现申请</w:t>
      </w:r>
      <w:r>
        <w:rPr>
          <w:rFonts w:ascii="宋体" w:hAnsi="宋体" w:cs="宋体"/>
          <w:spacing w:val="7"/>
          <w:sz w:val="28"/>
          <w:szCs w:val="28"/>
        </w:rPr>
        <w:t>单</w:t>
      </w:r>
    </w:p>
    <w:p w14:paraId="616DB221">
      <w:pPr>
        <w:jc w:val="center"/>
        <w:rPr>
          <w:rFonts w:hint="eastAsia" w:eastAsia="宋体"/>
          <w:b/>
          <w:sz w:val="28"/>
          <w:szCs w:val="28"/>
          <w:lang w:eastAsia="zh-CN"/>
        </w:rPr>
      </w:pPr>
      <w:r>
        <w:rPr>
          <w:rFonts w:hint="eastAsia"/>
          <w:b/>
          <w:sz w:val="28"/>
          <w:szCs w:val="28"/>
          <w:lang w:eastAsia="zh-CN"/>
        </w:rPr>
        <w:t>山东省国林助学慈善基金会</w:t>
      </w:r>
    </w:p>
    <w:p w14:paraId="3280C910">
      <w:pPr>
        <w:jc w:val="center"/>
        <w:rPr>
          <w:b/>
          <w:sz w:val="28"/>
          <w:szCs w:val="28"/>
        </w:rPr>
      </w:pPr>
      <w:r>
        <w:rPr>
          <w:rFonts w:hint="eastAsia"/>
          <w:b/>
          <w:sz w:val="28"/>
          <w:szCs w:val="28"/>
        </w:rPr>
        <w:t>银行提现申请单</w:t>
      </w:r>
    </w:p>
    <w:p w14:paraId="3D8C86CC">
      <w:pPr>
        <w:jc w:val="center"/>
        <w:rPr>
          <w:b/>
          <w:sz w:val="10"/>
          <w:szCs w:val="10"/>
        </w:rPr>
      </w:pPr>
    </w:p>
    <w:tbl>
      <w:tblPr>
        <w:tblStyle w:val="11"/>
        <w:tblW w:w="0" w:type="auto"/>
        <w:tblInd w:w="11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402"/>
        <w:gridCol w:w="3260"/>
      </w:tblGrid>
      <w:tr w14:paraId="1DF415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3402" w:type="dxa"/>
            <w:vAlign w:val="center"/>
          </w:tcPr>
          <w:p w14:paraId="5CA5EB6C">
            <w:pPr>
              <w:jc w:val="center"/>
              <w:rPr>
                <w:b/>
              </w:rPr>
            </w:pPr>
            <w:r>
              <w:rPr>
                <w:rFonts w:hint="eastAsia"/>
                <w:b/>
              </w:rPr>
              <w:t>用  途</w:t>
            </w:r>
          </w:p>
        </w:tc>
        <w:tc>
          <w:tcPr>
            <w:tcW w:w="3260" w:type="dxa"/>
            <w:vAlign w:val="center"/>
          </w:tcPr>
          <w:p w14:paraId="5E3B5EE2">
            <w:pPr>
              <w:jc w:val="center"/>
              <w:rPr>
                <w:b/>
              </w:rPr>
            </w:pPr>
            <w:r>
              <w:rPr>
                <w:rFonts w:hint="eastAsia"/>
                <w:b/>
              </w:rPr>
              <w:t>金  额</w:t>
            </w:r>
          </w:p>
        </w:tc>
      </w:tr>
      <w:tr w14:paraId="13471F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3402" w:type="dxa"/>
            <w:vAlign w:val="center"/>
          </w:tcPr>
          <w:p w14:paraId="07BD1445">
            <w:pPr>
              <w:jc w:val="center"/>
            </w:pPr>
          </w:p>
        </w:tc>
        <w:tc>
          <w:tcPr>
            <w:tcW w:w="3260" w:type="dxa"/>
            <w:vAlign w:val="center"/>
          </w:tcPr>
          <w:p w14:paraId="73BC94CB">
            <w:pPr>
              <w:jc w:val="left"/>
            </w:pPr>
            <w:r>
              <w:rPr>
                <w:rFonts w:hint="eastAsia"/>
              </w:rPr>
              <w:t>人民币</w:t>
            </w:r>
          </w:p>
        </w:tc>
      </w:tr>
    </w:tbl>
    <w:p w14:paraId="780E1A2F">
      <w:pPr>
        <w:rPr>
          <w:szCs w:val="21"/>
        </w:rPr>
      </w:pPr>
    </w:p>
    <w:p w14:paraId="3B065E7C">
      <w:pPr>
        <w:rPr>
          <w:szCs w:val="21"/>
        </w:rPr>
      </w:pPr>
    </w:p>
    <w:p w14:paraId="52AF44C7">
      <w:pPr>
        <w:rPr>
          <w:szCs w:val="21"/>
          <w:u w:val="single"/>
        </w:rPr>
      </w:pPr>
      <w:r>
        <w:rPr>
          <w:rFonts w:hint="eastAsia"/>
          <w:szCs w:val="21"/>
        </w:rPr>
        <w:t xml:space="preserve">        </w:t>
      </w:r>
      <w:r>
        <w:rPr>
          <w:rFonts w:hint="eastAsia"/>
          <w:szCs w:val="21"/>
        </w:rPr>
        <w:tab/>
      </w:r>
      <w:r>
        <w:rPr>
          <w:rFonts w:hint="eastAsia"/>
          <w:szCs w:val="21"/>
        </w:rPr>
        <w:t>申请人/出纳：</w:t>
      </w:r>
      <w:r>
        <w:rPr>
          <w:rFonts w:hint="eastAsia"/>
          <w:szCs w:val="21"/>
          <w:u w:val="single"/>
        </w:rPr>
        <w:t xml:space="preserve">              </w:t>
      </w:r>
      <w:r>
        <w:rPr>
          <w:rFonts w:hint="eastAsia"/>
          <w:szCs w:val="21"/>
        </w:rPr>
        <w:t xml:space="preserve"> 申请日期：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14:paraId="5AD38C64">
      <w:pPr>
        <w:rPr>
          <w:szCs w:val="21"/>
        </w:rPr>
      </w:pPr>
      <w:r>
        <w:rPr>
          <w:rFonts w:hint="eastAsia"/>
          <w:szCs w:val="21"/>
        </w:rPr>
        <w:t xml:space="preserve">           </w:t>
      </w:r>
    </w:p>
    <w:p w14:paraId="25774464">
      <w:pPr>
        <w:ind w:left="840" w:firstLine="420"/>
        <w:jc w:val="center"/>
        <w:rPr>
          <w:rStyle w:val="16"/>
        </w:rPr>
      </w:pPr>
      <w:r>
        <w:rPr>
          <w:rFonts w:hint="eastAsia"/>
          <w:szCs w:val="21"/>
        </w:rPr>
        <w:t>审批：</w:t>
      </w:r>
      <w:r>
        <w:rPr>
          <w:rFonts w:hint="eastAsia"/>
          <w:szCs w:val="21"/>
          <w:u w:val="single"/>
        </w:rPr>
        <w:t xml:space="preserve">              </w:t>
      </w:r>
      <w:r>
        <w:rPr>
          <w:szCs w:val="21"/>
        </w:rPr>
        <w:br w:type="page"/>
      </w:r>
      <w:r>
        <w:rPr>
          <w:rStyle w:val="16"/>
          <w:rFonts w:hint="eastAsia"/>
        </w:rPr>
        <w:t>附一 支出申请单填报规范</w:t>
      </w:r>
      <w:bookmarkEnd w:id="15"/>
    </w:p>
    <w:p w14:paraId="6D238F9B"/>
    <w:p w14:paraId="41F86A2A">
      <w:r>
        <w:rPr>
          <w:rFonts w:hint="eastAsia"/>
        </w:rPr>
        <w:t>为提高支出审批和办理的效率，请大家依照以下指南填报支出申请。</w:t>
      </w:r>
    </w:p>
    <w:p w14:paraId="2D48E8DF">
      <w:r>
        <w:rPr>
          <w:rFonts w:hint="eastAsia"/>
        </w:rPr>
        <w:t>1.《支出申请单》请使用黑、蓝色签字笔、圆珠笔或钢笔填写。不允许使用红笔、铅笔填写。</w:t>
      </w:r>
    </w:p>
    <w:p w14:paraId="67B855A3">
      <w:r>
        <w:rPr>
          <w:rFonts w:hint="eastAsia"/>
        </w:rPr>
        <w:t>2.报销和预借款请分单填写；现金（现金或现金支票）和转账（网银或转账支票）请分单填写；不同抬头的发票报销时（如有）请分单填写。</w:t>
      </w:r>
    </w:p>
    <w:p w14:paraId="33C445BE">
      <w:r>
        <w:rPr>
          <w:rFonts w:hint="eastAsia"/>
        </w:rPr>
        <w:t>3.如您是因协助其他同事的任务发生费用申请支出时，先请此项目（任务）的负责人在“部门</w:t>
      </w:r>
      <w:r>
        <w:t>/</w:t>
      </w:r>
      <w:r>
        <w:rPr>
          <w:rFonts w:hint="eastAsia"/>
        </w:rPr>
        <w:t>项目负责人审核”处审核签字。</w:t>
      </w:r>
    </w:p>
    <w:p w14:paraId="4D175C96">
      <w:r>
        <w:rPr>
          <w:rFonts w:hint="eastAsia"/>
        </w:rPr>
        <w:t>4.报销时，请将发票依序粘贴在A5纸上（发票少时也可以直接粘贴在申请单后面），并将发票号码填列在申请单上。</w:t>
      </w:r>
    </w:p>
    <w:p w14:paraId="67147695">
      <w:r>
        <w:rPr>
          <w:rFonts w:hint="eastAsia"/>
        </w:rPr>
        <w:t>5.表中所有项目请填写完整，不允许空项，以便于分项目以及对照预算核算，亦可防止篡改。“支出类型”和“所属项目”据实填列，“是否预算内”请根据各部门预算填列。未写满的表格，空行请以斜线划去。</w:t>
      </w:r>
    </w:p>
    <w:p w14:paraId="3CBE6CAE">
      <w:r>
        <w:rPr>
          <w:rFonts w:hint="eastAsia"/>
        </w:rPr>
        <w:t>6.预借款时，请附预算明细（包括项目、单价、数量、总价）。</w:t>
      </w:r>
    </w:p>
    <w:p w14:paraId="2CAFDD36">
      <w:r>
        <w:rPr>
          <w:rFonts w:hint="eastAsia"/>
        </w:rPr>
        <w:t>7.报销餐费时，请在发票背面注明“何人、何时、何事、人均几元”。</w:t>
      </w:r>
    </w:p>
    <w:p w14:paraId="5EC4E547">
      <w:r>
        <w:rPr>
          <w:rFonts w:hint="eastAsia"/>
        </w:rPr>
        <w:t>8.报销邮寄或快递费用时，请在发票背面列明“寄往何人、何事”。</w:t>
      </w:r>
    </w:p>
    <w:p w14:paraId="3AE3DF7E">
      <w:r>
        <w:rPr>
          <w:rFonts w:hint="eastAsia"/>
        </w:rPr>
        <w:t>9.报销交通费用（如公交车票、出租车票、长途车船票、机票等）时，请在发票背面注明“何人、何时、何地至何地、何事”。</w:t>
      </w:r>
    </w:p>
    <w:p w14:paraId="1B3CD009">
      <w:r>
        <w:rPr>
          <w:rFonts w:hint="eastAsia"/>
        </w:rPr>
        <w:t>10.支出发生时请即索取发票，不允许使用代用发票。</w:t>
      </w:r>
    </w:p>
    <w:p w14:paraId="574CF735">
      <w:r>
        <w:rPr>
          <w:rFonts w:hint="eastAsia"/>
        </w:rPr>
        <w:t>11.未尽事宜请参照《财务制度》执行。</w:t>
      </w:r>
    </w:p>
    <w:p w14:paraId="27268F4A"/>
    <w:p w14:paraId="613F8E73">
      <w:pPr>
        <w:pStyle w:val="2"/>
        <w:spacing w:line="240" w:lineRule="auto"/>
        <w:jc w:val="center"/>
      </w:pPr>
      <w:bookmarkStart w:id="16" w:name="_Toc320197028"/>
      <w:r>
        <w:rPr>
          <w:rFonts w:hint="eastAsia"/>
        </w:rPr>
        <w:t>附二 资助业务执行规程</w:t>
      </w:r>
      <w:bookmarkEnd w:id="16"/>
    </w:p>
    <w:p w14:paraId="70FC5892">
      <w:pPr>
        <w:pStyle w:val="23"/>
        <w:numPr>
          <w:ilvl w:val="0"/>
          <w:numId w:val="6"/>
        </w:numPr>
        <w:ind w:left="424" w:hanging="424" w:hangingChars="202"/>
      </w:pPr>
      <w:r>
        <w:rPr>
          <w:rFonts w:hint="eastAsia"/>
        </w:rPr>
        <w:t>资助对象、额度和基本支付流程</w:t>
      </w:r>
    </w:p>
    <w:p w14:paraId="6361514A">
      <w:pPr>
        <w:pStyle w:val="23"/>
        <w:numPr>
          <w:ilvl w:val="0"/>
          <w:numId w:val="7"/>
        </w:numPr>
        <w:ind w:firstLineChars="0"/>
      </w:pPr>
      <w:r>
        <w:rPr>
          <w:rFonts w:hint="eastAsia"/>
        </w:rPr>
        <w:t>资助项目须属于基金会业务范围的单位或个人，受助人符合基金会的资助条件。</w:t>
      </w:r>
    </w:p>
    <w:p w14:paraId="10B6C91A">
      <w:pPr>
        <w:pStyle w:val="23"/>
        <w:numPr>
          <w:ilvl w:val="0"/>
          <w:numId w:val="7"/>
        </w:numPr>
        <w:ind w:firstLineChars="0"/>
      </w:pPr>
      <w:r>
        <w:rPr>
          <w:rFonts w:hint="eastAsia"/>
        </w:rPr>
        <w:t>资助额度依照受助人家庭经济状况、治疗情况、、提交的材料、以及捐款人的慈善意愿等因素确定，按照基金会有关规定评定实施。</w:t>
      </w:r>
    </w:p>
    <w:p w14:paraId="18354821">
      <w:pPr>
        <w:pStyle w:val="23"/>
        <w:numPr>
          <w:ilvl w:val="0"/>
          <w:numId w:val="7"/>
        </w:numPr>
        <w:ind w:firstLineChars="0"/>
      </w:pPr>
      <w:r>
        <w:rPr>
          <w:rFonts w:hint="eastAsia"/>
        </w:rPr>
        <w:t>资助方案确定后，由该资助项目负责人填具支出单，经会计审核、秘书长审批，出纳复核后办理支付。</w:t>
      </w:r>
    </w:p>
    <w:p w14:paraId="7AE53FB6">
      <w:pPr>
        <w:pStyle w:val="23"/>
        <w:numPr>
          <w:ilvl w:val="0"/>
          <w:numId w:val="6"/>
        </w:numPr>
        <w:ind w:left="424" w:hanging="424" w:hangingChars="202"/>
      </w:pPr>
      <w:r>
        <w:rPr>
          <w:rFonts w:hint="eastAsia"/>
        </w:rPr>
        <w:t>对于单位的项目资助</w:t>
      </w:r>
    </w:p>
    <w:p w14:paraId="6905EBDB">
      <w:pPr>
        <w:pStyle w:val="23"/>
        <w:numPr>
          <w:ilvl w:val="0"/>
          <w:numId w:val="8"/>
        </w:numPr>
        <w:ind w:firstLineChars="0"/>
      </w:pPr>
      <w:r>
        <w:rPr>
          <w:rFonts w:hint="eastAsia"/>
        </w:rPr>
        <w:t>接受资助方必须与</w:t>
      </w:r>
      <w:r>
        <w:rPr>
          <w:rFonts w:hint="eastAsia"/>
          <w:lang w:eastAsia="zh-CN"/>
        </w:rPr>
        <w:t>山东省国林助学慈善基金会</w:t>
      </w:r>
      <w:r>
        <w:rPr>
          <w:rFonts w:hint="eastAsia"/>
        </w:rPr>
        <w:t>签订捐赠协议书，明确规定资助款的用途、资助款支付方式及时间、项目内容及预期成果。项目完成后，受资助方需向</w:t>
      </w:r>
      <w:r>
        <w:rPr>
          <w:rFonts w:hint="eastAsia"/>
          <w:lang w:eastAsia="zh-CN"/>
        </w:rPr>
        <w:t>山东省国林助学慈善基金会</w:t>
      </w:r>
      <w:r>
        <w:rPr>
          <w:rFonts w:hint="eastAsia"/>
        </w:rPr>
        <w:t>提交项目报告。</w:t>
      </w:r>
    </w:p>
    <w:p w14:paraId="4C24755A">
      <w:pPr>
        <w:pStyle w:val="23"/>
        <w:numPr>
          <w:ilvl w:val="0"/>
          <w:numId w:val="8"/>
        </w:numPr>
        <w:ind w:firstLineChars="0"/>
      </w:pPr>
      <w:r>
        <w:rPr>
          <w:rFonts w:hint="eastAsia"/>
        </w:rPr>
        <w:t>如基金会预付款项，受资助方收到款项后，必须向基金会出具由国家财政或税务部门监制的合法票据。如采取报销方式，受资助单位提供的费用发票抬头必须为“</w:t>
      </w:r>
      <w:r>
        <w:rPr>
          <w:rFonts w:hint="eastAsia"/>
          <w:lang w:eastAsia="zh-CN"/>
        </w:rPr>
        <w:t>山东省国林助学慈善基金会</w:t>
      </w:r>
      <w:r>
        <w:rPr>
          <w:rFonts w:hint="eastAsia"/>
        </w:rPr>
        <w:t>”。</w:t>
      </w:r>
    </w:p>
    <w:p w14:paraId="4B70C8B8">
      <w:pPr>
        <w:pStyle w:val="23"/>
        <w:numPr>
          <w:ilvl w:val="0"/>
          <w:numId w:val="6"/>
        </w:numPr>
        <w:ind w:left="424" w:hanging="424" w:hangingChars="202"/>
      </w:pPr>
      <w:r>
        <w:rPr>
          <w:rFonts w:hint="eastAsia"/>
        </w:rPr>
        <w:t>对于个人的经济资助</w:t>
      </w:r>
    </w:p>
    <w:p w14:paraId="6D7ABA36">
      <w:pPr>
        <w:pStyle w:val="23"/>
        <w:numPr>
          <w:ilvl w:val="0"/>
          <w:numId w:val="9"/>
        </w:numPr>
        <w:ind w:firstLineChars="0"/>
      </w:pPr>
      <w:r>
        <w:rPr>
          <w:rFonts w:hint="eastAsia"/>
        </w:rPr>
        <w:t>受助个人须提交受助人的有效身份证件复印件、经济困难证明以及其他必要证明材料备查。对于患者的资助，除前述材料外，还需要提交医院出具的诊断证明、重要检查结果报告、相关医疗花费清单等材料。如受助人是未成年人，需要其法定监护人代为履行相关手续的，需要提交户口簿复印件、监护人身份证复印件。</w:t>
      </w:r>
    </w:p>
    <w:p w14:paraId="11E7E035">
      <w:pPr>
        <w:pStyle w:val="23"/>
        <w:numPr>
          <w:ilvl w:val="0"/>
          <w:numId w:val="9"/>
        </w:numPr>
        <w:ind w:firstLineChars="0"/>
      </w:pPr>
      <w:r>
        <w:rPr>
          <w:rFonts w:hint="eastAsia"/>
        </w:rPr>
        <w:t>不限定用途的小额生活补贴（一般每人次不超过人民币1000元），可使用现金或银行转账方式直接支付给受助人。资助款通过现金支付的，须由受助人本人或其监护人签字领取。通过银行支付的，银行回单的收款方必须与受助人一致。</w:t>
      </w:r>
    </w:p>
    <w:p w14:paraId="4ED40E35">
      <w:pPr>
        <w:pStyle w:val="23"/>
        <w:numPr>
          <w:ilvl w:val="0"/>
          <w:numId w:val="9"/>
        </w:numPr>
        <w:ind w:firstLineChars="0"/>
      </w:pPr>
      <w:r>
        <w:rPr>
          <w:rFonts w:hint="eastAsia"/>
        </w:rPr>
        <w:t>限定用途的资助款（如医疗费、来京治疗交通费补贴等），可由受助人持票据来基金会报销（不能提供票据原件的，可以使用票据复印件加盖收款单位公章或财务专用章/发票专用章）。如果受助人垫付费用有困难，可以申请基金会直接将款项支付给收款单位（如医院），并与基金会签署承诺书，费用结算完毕后将票据交回基金会。除非基金会及特定捐款人（如有）同意，结余款项需返还给基金会，不得挪作他用。必要时，基金会可与受助人、收款单位签署三方协议，对相关事项进行约定。</w:t>
      </w:r>
    </w:p>
    <w:p w14:paraId="34D67D15">
      <w:pPr>
        <w:pStyle w:val="23"/>
        <w:numPr>
          <w:ilvl w:val="0"/>
          <w:numId w:val="6"/>
        </w:numPr>
        <w:ind w:left="424" w:hanging="424" w:hangingChars="202"/>
      </w:pPr>
      <w:r>
        <w:rPr>
          <w:rFonts w:hint="eastAsia"/>
        </w:rPr>
        <w:t>以基金会名义为特定受助人募捐</w:t>
      </w:r>
    </w:p>
    <w:p w14:paraId="483103E4">
      <w:pPr>
        <w:pStyle w:val="23"/>
        <w:numPr>
          <w:ilvl w:val="0"/>
          <w:numId w:val="10"/>
        </w:numPr>
        <w:ind w:firstLineChars="0"/>
      </w:pPr>
      <w:r>
        <w:rPr>
          <w:rFonts w:hint="eastAsia"/>
        </w:rPr>
        <w:t>募捐行为必须符合国家和北京市相关法律法规的规定，并且符合基金会的业务范围。</w:t>
      </w:r>
    </w:p>
    <w:p w14:paraId="26460A6C">
      <w:pPr>
        <w:pStyle w:val="23"/>
        <w:numPr>
          <w:ilvl w:val="0"/>
          <w:numId w:val="10"/>
        </w:numPr>
        <w:ind w:firstLineChars="0"/>
      </w:pPr>
      <w:r>
        <w:rPr>
          <w:rFonts w:hint="eastAsia"/>
        </w:rPr>
        <w:t>筹得款项专款专用，基金会对捐款的使用保留监督权。资助款的发放须按照本规程前三章规定进行。募捐实施之前，基金会与受助方或委托方签署协议，对相关事项进行约定。</w:t>
      </w:r>
    </w:p>
    <w:p w14:paraId="54A56F52">
      <w:pPr>
        <w:pStyle w:val="23"/>
        <w:numPr>
          <w:ilvl w:val="0"/>
          <w:numId w:val="10"/>
        </w:numPr>
        <w:ind w:firstLineChars="0"/>
      </w:pPr>
      <w:r>
        <w:rPr>
          <w:rFonts w:hint="eastAsia"/>
        </w:rPr>
        <w:t>特殊情况下，需要基金会直接将募捐款项直接转交受助人或委托人的，必须事先约定，并签署代收代付协议后方可实施。此种情形下，基金会按照代收代付进行财务处理。基金会不作为活动的主办方或协办方，只承担款项的代收代付，声明对款项的使用免责。</w:t>
      </w:r>
    </w:p>
    <w:p w14:paraId="651C5218">
      <w:pPr>
        <w:pStyle w:val="23"/>
        <w:ind w:firstLine="0" w:firstLineChars="0"/>
      </w:pPr>
    </w:p>
    <w:p w14:paraId="46A7D913">
      <w:pPr>
        <w:pStyle w:val="2"/>
        <w:spacing w:line="240" w:lineRule="auto"/>
        <w:jc w:val="center"/>
      </w:pPr>
      <w:bookmarkStart w:id="17" w:name="_Toc320197029"/>
      <w:r>
        <w:rPr>
          <w:rFonts w:hint="eastAsia"/>
        </w:rPr>
        <w:t>附三 职工个人因私借款制度</w:t>
      </w:r>
      <w:bookmarkEnd w:id="17"/>
    </w:p>
    <w:p w14:paraId="43765E9C">
      <w:pPr>
        <w:pStyle w:val="23"/>
        <w:numPr>
          <w:ilvl w:val="0"/>
          <w:numId w:val="11"/>
        </w:numPr>
        <w:ind w:firstLineChars="0"/>
        <w:jc w:val="left"/>
      </w:pPr>
      <w:r>
        <w:rPr>
          <w:rFonts w:hint="eastAsia"/>
        </w:rPr>
        <w:t>为保障职工基本的生活和发展，在必要时职工个人可以向基金会申请因私借款。</w:t>
      </w:r>
    </w:p>
    <w:p w14:paraId="7D519043">
      <w:pPr>
        <w:pStyle w:val="23"/>
        <w:numPr>
          <w:ilvl w:val="0"/>
          <w:numId w:val="11"/>
        </w:numPr>
        <w:ind w:firstLineChars="0"/>
        <w:jc w:val="left"/>
      </w:pPr>
      <w:r>
        <w:rPr>
          <w:rFonts w:hint="eastAsia"/>
        </w:rPr>
        <w:t>职工出现以下情形，职工可以申请因私借款：</w:t>
      </w:r>
    </w:p>
    <w:p w14:paraId="297130D2">
      <w:pPr>
        <w:pStyle w:val="23"/>
        <w:numPr>
          <w:ilvl w:val="0"/>
          <w:numId w:val="12"/>
        </w:numPr>
        <w:ind w:firstLineChars="0"/>
        <w:jc w:val="left"/>
      </w:pPr>
      <w:r>
        <w:rPr>
          <w:rFonts w:hint="eastAsia"/>
        </w:rPr>
        <w:t>职工因伤病需要接受治疗，一次性或短期内支付治疗费用较大的；</w:t>
      </w:r>
    </w:p>
    <w:p w14:paraId="211198A7">
      <w:pPr>
        <w:pStyle w:val="23"/>
        <w:numPr>
          <w:ilvl w:val="0"/>
          <w:numId w:val="12"/>
        </w:numPr>
        <w:ind w:firstLineChars="0"/>
        <w:jc w:val="left"/>
      </w:pPr>
      <w:r>
        <w:rPr>
          <w:rFonts w:hint="eastAsia"/>
        </w:rPr>
        <w:t>职工个人参与业余培训，基金会予以支持的；</w:t>
      </w:r>
    </w:p>
    <w:p w14:paraId="63BF6378">
      <w:pPr>
        <w:pStyle w:val="23"/>
        <w:numPr>
          <w:ilvl w:val="0"/>
          <w:numId w:val="12"/>
        </w:numPr>
        <w:ind w:firstLineChars="0"/>
        <w:jc w:val="left"/>
      </w:pPr>
      <w:r>
        <w:rPr>
          <w:rFonts w:hint="eastAsia"/>
        </w:rPr>
        <w:t>职工一次性或短期内支付必要的基本生活费用，金额较大的；</w:t>
      </w:r>
    </w:p>
    <w:p w14:paraId="4FABB34D">
      <w:pPr>
        <w:pStyle w:val="23"/>
        <w:numPr>
          <w:ilvl w:val="0"/>
          <w:numId w:val="12"/>
        </w:numPr>
        <w:ind w:firstLineChars="0"/>
        <w:jc w:val="left"/>
      </w:pPr>
      <w:r>
        <w:rPr>
          <w:rFonts w:hint="eastAsia"/>
        </w:rPr>
        <w:t>职工一次性缴纳住房租金，金额较大，且尚不能提取住房公积金的；</w:t>
      </w:r>
    </w:p>
    <w:p w14:paraId="5DAD2649">
      <w:pPr>
        <w:pStyle w:val="23"/>
        <w:numPr>
          <w:ilvl w:val="0"/>
          <w:numId w:val="12"/>
        </w:numPr>
        <w:ind w:firstLineChars="0"/>
        <w:jc w:val="left"/>
      </w:pPr>
      <w:r>
        <w:rPr>
          <w:rFonts w:hint="eastAsia"/>
        </w:rPr>
        <w:t>职工家庭出现变故，需要资金援助的；</w:t>
      </w:r>
    </w:p>
    <w:p w14:paraId="6C3E7EEC">
      <w:pPr>
        <w:pStyle w:val="23"/>
        <w:numPr>
          <w:ilvl w:val="0"/>
          <w:numId w:val="12"/>
        </w:numPr>
        <w:ind w:firstLineChars="0"/>
        <w:jc w:val="left"/>
      </w:pPr>
      <w:r>
        <w:rPr>
          <w:rFonts w:hint="eastAsia"/>
        </w:rPr>
        <w:t>其他本人申请借款，经秘书长同意的。</w:t>
      </w:r>
    </w:p>
    <w:p w14:paraId="1E7F6A5F">
      <w:pPr>
        <w:pStyle w:val="23"/>
        <w:ind w:left="720" w:firstLine="0" w:firstLineChars="0"/>
        <w:jc w:val="left"/>
      </w:pPr>
      <w:r>
        <w:rPr>
          <w:rFonts w:hint="eastAsia"/>
        </w:rPr>
        <w:t>基金会向职工提供临时借款，不收取利息。</w:t>
      </w:r>
    </w:p>
    <w:p w14:paraId="28BF26A1">
      <w:pPr>
        <w:pStyle w:val="23"/>
        <w:numPr>
          <w:ilvl w:val="0"/>
          <w:numId w:val="11"/>
        </w:numPr>
        <w:ind w:firstLineChars="0"/>
        <w:jc w:val="left"/>
      </w:pPr>
      <w:r>
        <w:rPr>
          <w:rFonts w:hint="eastAsia"/>
        </w:rPr>
        <w:t>职工因私借款，不得用于以下用途：</w:t>
      </w:r>
    </w:p>
    <w:p w14:paraId="4B821D21">
      <w:pPr>
        <w:pStyle w:val="23"/>
        <w:numPr>
          <w:ilvl w:val="0"/>
          <w:numId w:val="13"/>
        </w:numPr>
        <w:ind w:left="1418" w:hanging="709" w:firstLineChars="0"/>
        <w:jc w:val="left"/>
      </w:pPr>
      <w:r>
        <w:rPr>
          <w:rFonts w:hint="eastAsia"/>
        </w:rPr>
        <w:t>违反国家法律、法规，或扰乱金融秩序的；</w:t>
      </w:r>
    </w:p>
    <w:p w14:paraId="03546CC3">
      <w:pPr>
        <w:pStyle w:val="23"/>
        <w:numPr>
          <w:ilvl w:val="0"/>
          <w:numId w:val="13"/>
        </w:numPr>
        <w:ind w:left="1418" w:hanging="709" w:firstLineChars="0"/>
        <w:jc w:val="left"/>
      </w:pPr>
      <w:r>
        <w:rPr>
          <w:rFonts w:hint="eastAsia"/>
        </w:rPr>
        <w:t>超出个人正常经济能力的非必需消费；</w:t>
      </w:r>
    </w:p>
    <w:p w14:paraId="78CB31E8">
      <w:pPr>
        <w:pStyle w:val="23"/>
        <w:numPr>
          <w:ilvl w:val="0"/>
          <w:numId w:val="13"/>
        </w:numPr>
        <w:ind w:left="1418" w:hanging="709" w:firstLineChars="0"/>
        <w:jc w:val="left"/>
      </w:pPr>
      <w:r>
        <w:rPr>
          <w:rFonts w:hint="eastAsia"/>
        </w:rPr>
        <w:t>风险投资。</w:t>
      </w:r>
    </w:p>
    <w:p w14:paraId="4EA8FBF6">
      <w:pPr>
        <w:ind w:left="720" w:firstLine="420" w:firstLineChars="200"/>
        <w:jc w:val="left"/>
      </w:pPr>
      <w:r>
        <w:rPr>
          <w:rFonts w:hint="eastAsia"/>
        </w:rPr>
        <w:t>职工因私借款用于以上用途的，基金会有权收回所借款项。拒不归还的，经秘书长批准，直接从职工工资中逐月扣除，直至足额。情节严重的，予以纪律或行政处分。有违法行为的，追究法律责任。</w:t>
      </w:r>
    </w:p>
    <w:p w14:paraId="76F1270C">
      <w:pPr>
        <w:pStyle w:val="23"/>
        <w:numPr>
          <w:ilvl w:val="0"/>
          <w:numId w:val="11"/>
        </w:numPr>
        <w:ind w:firstLineChars="0"/>
        <w:jc w:val="left"/>
      </w:pPr>
      <w:r>
        <w:rPr>
          <w:rFonts w:hint="eastAsia"/>
        </w:rPr>
        <w:t>职工因私借款的累计金额一般不超过该职工当月工资，每次借款期限一般不超过三个月。特殊情况经秘书长同意的，借款金额和期限可以适当放宽。</w:t>
      </w:r>
    </w:p>
    <w:p w14:paraId="3AC8F84C">
      <w:pPr>
        <w:pStyle w:val="23"/>
        <w:numPr>
          <w:ilvl w:val="0"/>
          <w:numId w:val="11"/>
        </w:numPr>
        <w:ind w:firstLineChars="0"/>
        <w:jc w:val="left"/>
      </w:pPr>
      <w:r>
        <w:rPr>
          <w:rFonts w:hint="eastAsia"/>
        </w:rPr>
        <w:t>职工申请因私借款，需填写借款单，列明借款理由、数额和期限，经会计审核、秘书长批准，出纳复核后于一周内付款。</w:t>
      </w:r>
    </w:p>
    <w:p w14:paraId="2CFE1B49">
      <w:pPr>
        <w:pStyle w:val="23"/>
        <w:numPr>
          <w:ilvl w:val="0"/>
          <w:numId w:val="11"/>
        </w:numPr>
        <w:ind w:firstLineChars="0"/>
        <w:jc w:val="left"/>
      </w:pPr>
      <w:r>
        <w:rPr>
          <w:rFonts w:hint="eastAsia"/>
        </w:rPr>
        <w:t>职工在归还因私借款时，可以直接向出纳缴纳现金，也可以由出纳在发放工资时代为扣缴。</w:t>
      </w:r>
    </w:p>
    <w:p w14:paraId="2B17A1F0">
      <w:pPr>
        <w:pStyle w:val="23"/>
        <w:numPr>
          <w:ilvl w:val="0"/>
          <w:numId w:val="11"/>
        </w:numPr>
        <w:ind w:firstLineChars="0"/>
        <w:jc w:val="left"/>
      </w:pPr>
      <w:r>
        <w:rPr>
          <w:rFonts w:hint="eastAsia"/>
        </w:rPr>
        <w:t>职工因私借款不能按期归还的，需提前申请展期。不申请展期或申请展期未被批准，逾期不还的，由出纳请示秘书长后，直接从职工工资中逐月扣除，直至足额。</w:t>
      </w:r>
    </w:p>
    <w:p w14:paraId="590F39D0">
      <w:pPr>
        <w:pStyle w:val="23"/>
        <w:numPr>
          <w:ilvl w:val="0"/>
          <w:numId w:val="11"/>
        </w:numPr>
        <w:ind w:firstLineChars="0"/>
        <w:jc w:val="left"/>
      </w:pPr>
      <w:r>
        <w:rPr>
          <w:rFonts w:hint="eastAsia"/>
        </w:rPr>
        <w:t>从工资中扣除应还款额时，扣缴的还款额不得在个人所得税税前扣除。</w:t>
      </w:r>
    </w:p>
    <w:p w14:paraId="54CD3AE5">
      <w:pPr>
        <w:pStyle w:val="23"/>
        <w:numPr>
          <w:ilvl w:val="0"/>
          <w:numId w:val="11"/>
        </w:numPr>
        <w:ind w:firstLineChars="0"/>
        <w:jc w:val="left"/>
      </w:pPr>
      <w:r>
        <w:rPr>
          <w:rFonts w:hint="eastAsia"/>
        </w:rPr>
        <w:t>职工离职的，须偿还全部因私借款，方可办理离职手续。</w:t>
      </w:r>
    </w:p>
    <w:p w14:paraId="36C261D4">
      <w:pPr>
        <w:pStyle w:val="23"/>
        <w:numPr>
          <w:ilvl w:val="0"/>
          <w:numId w:val="11"/>
        </w:numPr>
        <w:ind w:firstLineChars="0"/>
        <w:jc w:val="left"/>
      </w:pPr>
      <w:r>
        <w:rPr>
          <w:rFonts w:hint="eastAsia"/>
        </w:rPr>
        <w:t>本制度由基金会全体办公会讨论通过后施行。</w:t>
      </w:r>
    </w:p>
    <w:p w14:paraId="548358C6">
      <w:pPr>
        <w:pStyle w:val="23"/>
        <w:ind w:firstLine="0" w:firstLineChars="0"/>
      </w:pPr>
    </w:p>
    <w:sectPr>
      <w:footerReference r:id="rId6" w:type="default"/>
      <w:pgSz w:w="11906" w:h="16838"/>
      <w:pgMar w:top="1440" w:right="1800" w:bottom="1440" w:left="1800" w:header="851" w:footer="52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幼圆">
    <w:altName w:val="宋体"/>
    <w:panose1 w:val="02010509060101010101"/>
    <w:charset w:val="86"/>
    <w:family w:val="modern"/>
    <w:pitch w:val="default"/>
    <w:sig w:usb0="00000000" w:usb1="00000000" w:usb2="00000010" w:usb3="00000000" w:csb0="00040000" w:csb1="00000000"/>
  </w:font>
  <w:font w:name="穝灿砰">
    <w:altName w:val="宋体"/>
    <w:panose1 w:val="00000000000000000000"/>
    <w:charset w:val="86"/>
    <w:family w:val="auto"/>
    <w:pitch w:val="default"/>
    <w:sig w:usb0="00000000" w:usb1="00000000" w:usb2="00000010" w:usb3="00000000" w:csb0="00040000" w:csb1="00000000"/>
  </w:font>
  <w:font w:name="方正姚体">
    <w:altName w:val="宋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8E4C3">
    <w:pPr>
      <w:pStyle w:val="7"/>
      <w:jc w:val="right"/>
    </w:pPr>
  </w:p>
  <w:p w14:paraId="4F027180">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39155">
    <w:pPr>
      <w:pStyle w:val="7"/>
      <w:jc w:val="right"/>
    </w:pPr>
    <w:r>
      <w:fldChar w:fldCharType="begin"/>
    </w:r>
    <w:r>
      <w:instrText xml:space="preserve"> PAGE   \* MERGEFORMAT </w:instrText>
    </w:r>
    <w:r>
      <w:fldChar w:fldCharType="separate"/>
    </w:r>
    <w:r>
      <w:rPr>
        <w:lang w:val="zh-CN"/>
      </w:rPr>
      <w:t>14</w:t>
    </w:r>
    <w:r>
      <w:rPr>
        <w:lang w:val="zh-CN"/>
      </w:rPr>
      <w:fldChar w:fldCharType="end"/>
    </w:r>
  </w:p>
  <w:p w14:paraId="1FB4C9B5">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F34BE">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AEA82">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8D43F0"/>
    <w:multiLevelType w:val="multilevel"/>
    <w:tmpl w:val="008D43F0"/>
    <w:lvl w:ilvl="0" w:tentative="0">
      <w:start w:val="1"/>
      <w:numFmt w:val="japaneseCounting"/>
      <w:lvlText w:val="%1、"/>
      <w:lvlJc w:val="left"/>
      <w:pPr>
        <w:ind w:left="360" w:hanging="360"/>
      </w:pPr>
      <w:rPr>
        <w:rFonts w:ascii="Calibri" w:hAnsi="Calibri"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A521C8B"/>
    <w:multiLevelType w:val="multilevel"/>
    <w:tmpl w:val="0A521C8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2E92F60"/>
    <w:multiLevelType w:val="multilevel"/>
    <w:tmpl w:val="12E92F60"/>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3">
    <w:nsid w:val="1F331208"/>
    <w:multiLevelType w:val="multilevel"/>
    <w:tmpl w:val="1F331208"/>
    <w:lvl w:ilvl="0" w:tentative="0">
      <w:start w:val="1"/>
      <w:numFmt w:val="japaneseCounting"/>
      <w:lvlText w:val="第%1条"/>
      <w:lvlJc w:val="left"/>
      <w:pPr>
        <w:ind w:left="720" w:hanging="7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0FC2463"/>
    <w:multiLevelType w:val="multilevel"/>
    <w:tmpl w:val="20FC246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2223279"/>
    <w:multiLevelType w:val="multilevel"/>
    <w:tmpl w:val="22223279"/>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3148481C"/>
    <w:multiLevelType w:val="multilevel"/>
    <w:tmpl w:val="3148481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A1904B7"/>
    <w:multiLevelType w:val="multilevel"/>
    <w:tmpl w:val="3A1904B7"/>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8">
    <w:nsid w:val="45075D6C"/>
    <w:multiLevelType w:val="multilevel"/>
    <w:tmpl w:val="45075D6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68943E8"/>
    <w:multiLevelType w:val="multilevel"/>
    <w:tmpl w:val="468943E8"/>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0">
    <w:nsid w:val="58EA42C5"/>
    <w:multiLevelType w:val="multilevel"/>
    <w:tmpl w:val="58EA42C5"/>
    <w:lvl w:ilvl="0" w:tentative="0">
      <w:start w:val="1"/>
      <w:numFmt w:val="decimal"/>
      <w:lvlText w:val="（%1）"/>
      <w:lvlJc w:val="left"/>
      <w:pPr>
        <w:ind w:left="1440" w:hanging="720"/>
      </w:pPr>
      <w:rPr>
        <w:rFonts w:hint="default"/>
        <w:lang w:val="en-US"/>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11">
    <w:nsid w:val="5E6B7613"/>
    <w:multiLevelType w:val="multilevel"/>
    <w:tmpl w:val="5E6B7613"/>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2">
    <w:nsid w:val="7CEA616B"/>
    <w:multiLevelType w:val="multilevel"/>
    <w:tmpl w:val="7CEA616B"/>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2"/>
  </w:num>
  <w:num w:numId="2">
    <w:abstractNumId w:val="6"/>
  </w:num>
  <w:num w:numId="3">
    <w:abstractNumId w:val="4"/>
  </w:num>
  <w:num w:numId="4">
    <w:abstractNumId w:val="8"/>
  </w:num>
  <w:num w:numId="5">
    <w:abstractNumId w:val="1"/>
  </w:num>
  <w:num w:numId="6">
    <w:abstractNumId w:val="0"/>
  </w:num>
  <w:num w:numId="7">
    <w:abstractNumId w:val="11"/>
  </w:num>
  <w:num w:numId="8">
    <w:abstractNumId w:val="9"/>
  </w:num>
  <w:num w:numId="9">
    <w:abstractNumId w:val="2"/>
  </w:num>
  <w:num w:numId="10">
    <w:abstractNumId w:val="7"/>
  </w:num>
  <w:num w:numId="11">
    <w:abstractNumId w:val="3"/>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ZDRmMGVhY2JkMzYzZjY1M2Q1NTBhNTM0Yjc2Y2YifQ=="/>
  </w:docVars>
  <w:rsids>
    <w:rsidRoot w:val="00D832E9"/>
    <w:rsid w:val="00007ECF"/>
    <w:rsid w:val="00054602"/>
    <w:rsid w:val="000C688F"/>
    <w:rsid w:val="000C7A02"/>
    <w:rsid w:val="00112504"/>
    <w:rsid w:val="00114EA8"/>
    <w:rsid w:val="00137804"/>
    <w:rsid w:val="00151406"/>
    <w:rsid w:val="001556B3"/>
    <w:rsid w:val="00172097"/>
    <w:rsid w:val="001D4509"/>
    <w:rsid w:val="00233DB1"/>
    <w:rsid w:val="002C3130"/>
    <w:rsid w:val="002D3C8C"/>
    <w:rsid w:val="002D6643"/>
    <w:rsid w:val="002E09E0"/>
    <w:rsid w:val="002E1756"/>
    <w:rsid w:val="002F28CA"/>
    <w:rsid w:val="00306A32"/>
    <w:rsid w:val="0031335D"/>
    <w:rsid w:val="00325BB0"/>
    <w:rsid w:val="003820EB"/>
    <w:rsid w:val="00384D40"/>
    <w:rsid w:val="003979F5"/>
    <w:rsid w:val="003C7E7A"/>
    <w:rsid w:val="00470B82"/>
    <w:rsid w:val="004719DA"/>
    <w:rsid w:val="00472B96"/>
    <w:rsid w:val="00492B92"/>
    <w:rsid w:val="004A127E"/>
    <w:rsid w:val="004E218B"/>
    <w:rsid w:val="004E45FA"/>
    <w:rsid w:val="00542FF7"/>
    <w:rsid w:val="00555071"/>
    <w:rsid w:val="00575A46"/>
    <w:rsid w:val="00593E99"/>
    <w:rsid w:val="005B019E"/>
    <w:rsid w:val="005E444C"/>
    <w:rsid w:val="006400B8"/>
    <w:rsid w:val="00644F1C"/>
    <w:rsid w:val="00670FD8"/>
    <w:rsid w:val="006B396C"/>
    <w:rsid w:val="006D45C0"/>
    <w:rsid w:val="00704601"/>
    <w:rsid w:val="00706F2C"/>
    <w:rsid w:val="007508B7"/>
    <w:rsid w:val="00761478"/>
    <w:rsid w:val="00781F9A"/>
    <w:rsid w:val="007B492E"/>
    <w:rsid w:val="007F51A8"/>
    <w:rsid w:val="00816B45"/>
    <w:rsid w:val="00817175"/>
    <w:rsid w:val="00817767"/>
    <w:rsid w:val="00872D7D"/>
    <w:rsid w:val="00886FB0"/>
    <w:rsid w:val="008B572D"/>
    <w:rsid w:val="008D79C9"/>
    <w:rsid w:val="008E58C3"/>
    <w:rsid w:val="00910AC3"/>
    <w:rsid w:val="00971E68"/>
    <w:rsid w:val="009C7D93"/>
    <w:rsid w:val="00A31037"/>
    <w:rsid w:val="00A55903"/>
    <w:rsid w:val="00AA0BAA"/>
    <w:rsid w:val="00AD02D2"/>
    <w:rsid w:val="00AF69D5"/>
    <w:rsid w:val="00B0713A"/>
    <w:rsid w:val="00B17B0A"/>
    <w:rsid w:val="00B24D79"/>
    <w:rsid w:val="00B9414F"/>
    <w:rsid w:val="00BA7B34"/>
    <w:rsid w:val="00BB0A28"/>
    <w:rsid w:val="00C412A0"/>
    <w:rsid w:val="00C7096A"/>
    <w:rsid w:val="00C75543"/>
    <w:rsid w:val="00CB395E"/>
    <w:rsid w:val="00CF7D7D"/>
    <w:rsid w:val="00D564B8"/>
    <w:rsid w:val="00D57929"/>
    <w:rsid w:val="00D832E9"/>
    <w:rsid w:val="00D872EC"/>
    <w:rsid w:val="00DB0BDF"/>
    <w:rsid w:val="00DC3A93"/>
    <w:rsid w:val="00DC6FA4"/>
    <w:rsid w:val="00DD5506"/>
    <w:rsid w:val="00DF6533"/>
    <w:rsid w:val="00E263DA"/>
    <w:rsid w:val="00E51651"/>
    <w:rsid w:val="00E51FA8"/>
    <w:rsid w:val="00E70E8C"/>
    <w:rsid w:val="00E95A6F"/>
    <w:rsid w:val="00EA470C"/>
    <w:rsid w:val="00EB201D"/>
    <w:rsid w:val="00EC4C82"/>
    <w:rsid w:val="00ED37EB"/>
    <w:rsid w:val="00F14459"/>
    <w:rsid w:val="00F42759"/>
    <w:rsid w:val="00F62AFF"/>
    <w:rsid w:val="00FB75C5"/>
    <w:rsid w:val="00FE0015"/>
    <w:rsid w:val="2F406212"/>
    <w:rsid w:val="54032613"/>
    <w:rsid w:val="5E807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7"/>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24"/>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autoRedefine/>
    <w:semiHidden/>
    <w:unhideWhenUsed/>
    <w:qFormat/>
    <w:uiPriority w:val="39"/>
    <w:pPr>
      <w:widowControl/>
      <w:spacing w:after="100" w:line="276" w:lineRule="auto"/>
      <w:ind w:left="440"/>
      <w:jc w:val="left"/>
    </w:pPr>
    <w:rPr>
      <w:kern w:val="0"/>
      <w:sz w:val="22"/>
    </w:rPr>
  </w:style>
  <w:style w:type="paragraph" w:styleId="6">
    <w:name w:val="Balloon Text"/>
    <w:basedOn w:val="1"/>
    <w:link w:val="18"/>
    <w:semiHidden/>
    <w:unhideWhenUsed/>
    <w:uiPriority w:val="99"/>
    <w:rPr>
      <w:sz w:val="18"/>
      <w:szCs w:val="18"/>
    </w:rPr>
  </w:style>
  <w:style w:type="paragraph" w:styleId="7">
    <w:name w:val="footer"/>
    <w:basedOn w:val="1"/>
    <w:link w:val="21"/>
    <w:unhideWhenUsed/>
    <w:uiPriority w:val="99"/>
    <w:pPr>
      <w:tabs>
        <w:tab w:val="center" w:pos="4153"/>
        <w:tab w:val="right" w:pos="8306"/>
      </w:tabs>
      <w:snapToGrid w:val="0"/>
      <w:jc w:val="left"/>
    </w:pPr>
    <w:rPr>
      <w:sz w:val="18"/>
      <w:szCs w:val="18"/>
    </w:rPr>
  </w:style>
  <w:style w:type="paragraph" w:styleId="8">
    <w:name w:val="header"/>
    <w:basedOn w:val="1"/>
    <w:link w:val="20"/>
    <w:semiHidden/>
    <w:unhideWhenUsed/>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autoRedefine/>
    <w:unhideWhenUsed/>
    <w:qFormat/>
    <w:uiPriority w:val="39"/>
    <w:pPr>
      <w:widowControl/>
      <w:tabs>
        <w:tab w:val="right" w:leader="dot" w:pos="8296"/>
      </w:tabs>
      <w:spacing w:after="100" w:line="276" w:lineRule="auto"/>
      <w:jc w:val="left"/>
    </w:pPr>
    <w:rPr>
      <w:kern w:val="0"/>
      <w:sz w:val="28"/>
      <w:szCs w:val="28"/>
    </w:rPr>
  </w:style>
  <w:style w:type="paragraph" w:styleId="10">
    <w:name w:val="toc 2"/>
    <w:basedOn w:val="1"/>
    <w:next w:val="1"/>
    <w:autoRedefine/>
    <w:unhideWhenUsed/>
    <w:qFormat/>
    <w:uiPriority w:val="39"/>
    <w:pPr>
      <w:widowControl/>
      <w:spacing w:after="100" w:line="276" w:lineRule="auto"/>
      <w:ind w:left="220"/>
      <w:jc w:val="left"/>
    </w:pPr>
    <w:rPr>
      <w:kern w:val="0"/>
      <w:sz w:val="22"/>
    </w:rPr>
  </w:style>
  <w:style w:type="table" w:styleId="12">
    <w:name w:val="Table Grid"/>
    <w:basedOn w:val="11"/>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Hyperlink"/>
    <w:basedOn w:val="13"/>
    <w:unhideWhenUsed/>
    <w:uiPriority w:val="99"/>
    <w:rPr>
      <w:color w:val="0000FF"/>
      <w:u w:val="single"/>
    </w:rPr>
  </w:style>
  <w:style w:type="paragraph" w:customStyle="1" w:styleId="15">
    <w:name w:val="彩色列表 - 强调文字颜色 11"/>
    <w:basedOn w:val="1"/>
    <w:qFormat/>
    <w:uiPriority w:val="34"/>
    <w:pPr>
      <w:ind w:firstLine="420" w:firstLineChars="200"/>
    </w:pPr>
  </w:style>
  <w:style w:type="character" w:customStyle="1" w:styleId="16">
    <w:name w:val="标题 1 Char"/>
    <w:basedOn w:val="13"/>
    <w:link w:val="2"/>
    <w:uiPriority w:val="9"/>
    <w:rPr>
      <w:b/>
      <w:bCs/>
      <w:kern w:val="44"/>
      <w:sz w:val="44"/>
      <w:szCs w:val="44"/>
    </w:rPr>
  </w:style>
  <w:style w:type="character" w:customStyle="1" w:styleId="17">
    <w:name w:val="标题 2 Char"/>
    <w:basedOn w:val="13"/>
    <w:link w:val="3"/>
    <w:uiPriority w:val="9"/>
    <w:rPr>
      <w:rFonts w:ascii="Cambria" w:hAnsi="Cambria" w:eastAsia="宋体" w:cs="Times New Roman"/>
      <w:b/>
      <w:bCs/>
      <w:sz w:val="32"/>
      <w:szCs w:val="32"/>
    </w:rPr>
  </w:style>
  <w:style w:type="character" w:customStyle="1" w:styleId="18">
    <w:name w:val="批注框文本 Char"/>
    <w:basedOn w:val="13"/>
    <w:link w:val="6"/>
    <w:semiHidden/>
    <w:uiPriority w:val="99"/>
    <w:rPr>
      <w:sz w:val="18"/>
      <w:szCs w:val="18"/>
    </w:rPr>
  </w:style>
  <w:style w:type="paragraph" w:customStyle="1" w:styleId="19">
    <w:name w:val="Default"/>
    <w:uiPriority w:val="0"/>
    <w:pPr>
      <w:widowControl w:val="0"/>
      <w:autoSpaceDE w:val="0"/>
      <w:autoSpaceDN w:val="0"/>
      <w:adjustRightInd w:val="0"/>
    </w:pPr>
    <w:rPr>
      <w:rFonts w:ascii="宋体" w:hAnsi="Calibri" w:eastAsia="宋体" w:cs="宋体"/>
      <w:color w:val="000000"/>
      <w:sz w:val="24"/>
      <w:szCs w:val="24"/>
      <w:lang w:val="en-US" w:eastAsia="en-US" w:bidi="ar-SA"/>
    </w:rPr>
  </w:style>
  <w:style w:type="character" w:customStyle="1" w:styleId="20">
    <w:name w:val="页眉 Char"/>
    <w:basedOn w:val="13"/>
    <w:link w:val="8"/>
    <w:semiHidden/>
    <w:uiPriority w:val="99"/>
    <w:rPr>
      <w:kern w:val="2"/>
      <w:sz w:val="18"/>
      <w:szCs w:val="18"/>
    </w:rPr>
  </w:style>
  <w:style w:type="character" w:customStyle="1" w:styleId="21">
    <w:name w:val="页脚 Char"/>
    <w:basedOn w:val="13"/>
    <w:link w:val="7"/>
    <w:uiPriority w:val="99"/>
    <w:rPr>
      <w:kern w:val="2"/>
      <w:sz w:val="18"/>
      <w:szCs w:val="18"/>
    </w:rPr>
  </w:style>
  <w:style w:type="paragraph" w:customStyle="1" w:styleId="22">
    <w:name w:val="TOC 标题1"/>
    <w:basedOn w:val="2"/>
    <w:next w:val="1"/>
    <w:semiHidden/>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styleId="23">
    <w:name w:val="List Paragraph"/>
    <w:basedOn w:val="1"/>
    <w:qFormat/>
    <w:uiPriority w:val="0"/>
    <w:pPr>
      <w:ind w:firstLine="420" w:firstLineChars="200"/>
    </w:pPr>
  </w:style>
  <w:style w:type="character" w:customStyle="1" w:styleId="24">
    <w:name w:val="标题 3 Char"/>
    <w:basedOn w:val="13"/>
    <w:link w:val="4"/>
    <w:qFormat/>
    <w:uiPriority w:val="9"/>
    <w:rPr>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3FCDF-EDB0-481F-B1C6-BDEC48512A11}">
  <ds:schemaRefs/>
</ds:datastoreItem>
</file>

<file path=docProps/app.xml><?xml version="1.0" encoding="utf-8"?>
<Properties xmlns="http://schemas.openxmlformats.org/officeDocument/2006/extended-properties" xmlns:vt="http://schemas.openxmlformats.org/officeDocument/2006/docPropsVTypes">
  <Template>Normal</Template>
  <Company>番茄花园</Company>
  <Pages>17</Pages>
  <Words>8553</Words>
  <Characters>8702</Characters>
  <Lines>69</Lines>
  <Paragraphs>19</Paragraphs>
  <TotalTime>37</TotalTime>
  <ScaleCrop>false</ScaleCrop>
  <LinksUpToDate>false</LinksUpToDate>
  <CharactersWithSpaces>8865</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2015-04-30T03:29:00Z</dcterms:created>
  <dc:creator>北大阳光志愿者协会 杨震</dc:creator>
  <cp:lastModifiedBy>Administrator</cp:lastModifiedBy>
  <cp:lastPrinted>2017-09-13T06:33:00Z</cp:lastPrinted>
  <dcterms:modified xsi:type="dcterms:W3CDTF">2024-06-17T08:35:36Z</dcterms:modified>
  <dc:title>北京新阳光慈善基金会</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95D5D5AC38DB4ED6BDCA6056B6D38A74_13</vt:lpwstr>
  </property>
</Properties>
</file>