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extAlignment w:val="baseline"/>
        <w:rPr>
          <w:rFonts w:ascii="宋体" w:hAnsi="宋体" w:eastAsia="宋体" w:cs="宋体"/>
          <w:sz w:val="24"/>
          <w:highlight w:val="cyan"/>
        </w:rPr>
      </w:pPr>
      <w:r>
        <w:rPr>
          <w:rFonts w:hint="eastAsia" w:ascii="宋体" w:hAnsi="宋体" w:eastAsia="宋体" w:cs="宋体"/>
          <w:lang w:bidi="ar"/>
        </w:rPr>
        <w:t xml:space="preserve">                                          </w:t>
      </w:r>
      <w:r>
        <w:rPr>
          <w:rFonts w:hint="eastAsia" w:ascii="宋体" w:hAnsi="宋体" w:eastAsia="宋体" w:cs="宋体"/>
          <w:sz w:val="24"/>
          <w:lang w:bidi="ar"/>
        </w:rPr>
        <w:t>买方合同编号：</w:t>
      </w:r>
    </w:p>
    <w:p>
      <w:pPr>
        <w:jc w:val="left"/>
        <w:textAlignment w:val="baseline"/>
        <w:rPr>
          <w:rFonts w:ascii="宋体" w:hAnsi="宋体" w:eastAsia="宋体" w:cs="宋体"/>
          <w:spacing w:val="40"/>
          <w:kern w:val="0"/>
          <w:sz w:val="36"/>
          <w:szCs w:val="36"/>
        </w:rPr>
      </w:pP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-5080</wp:posOffset>
                </wp:positionV>
                <wp:extent cx="6324600" cy="0"/>
                <wp:effectExtent l="0" t="0" r="0" b="0"/>
                <wp:wrapNone/>
                <wp:docPr id="1" name="直线 3"/>
                <wp:cNvGraphicFramePr/>
                <a:graphic xmlns:a="http://schemas.openxmlformats.org/drawingml/2006/main">
                  <a:graphicData uri="http://schemas.microsoft.com/office/word/2010/wordprocessingShape">
                    <wps:wsp>
                      <wps:cNvCnPr/>
                      <wps:spPr>
                        <a:xfrm>
                          <a:off x="0" y="0"/>
                          <a:ext cx="6324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top:-0.4pt;height:0pt;width:498pt;mso-position-horizontal:center;z-index:251659264;mso-width-relative:page;mso-height-relative:page;" filled="f" stroked="t" coordsize="21600,21600" o:gfxdata="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l2nof0QAAAAQBAAAPAAAAAAAA&#10;AAEAIAAAACIAAABkcnMvZG93bnJldi54bWxQSwECFAAUAAAACACHTuJAjZuvXuABAADPAwAADgAA&#10;AAAAAAABACAAAAAgAQAAZHJzL2Uyb0RvYy54bWxQSwUGAAAAAAYABgBZAQAAcgUAAAAA&#10;">
                <v:fill on="f" focussize="0,0"/>
                <v:stroke color="#000000" joinstyle="round"/>
                <v:imagedata o:title=""/>
                <o:lock v:ext="edit" aspectratio="f"/>
              </v:line>
            </w:pict>
          </mc:Fallback>
        </mc:AlternateContent>
      </w:r>
    </w:p>
    <w:p>
      <w:pPr>
        <w:spacing w:line="360" w:lineRule="auto"/>
        <w:jc w:val="center"/>
        <w:rPr>
          <w:rFonts w:ascii="宋体" w:hAnsi="宋体"/>
          <w:spacing w:val="20"/>
          <w:sz w:val="36"/>
          <w:szCs w:val="36"/>
        </w:rPr>
      </w:pPr>
      <w:bookmarkStart w:id="0" w:name="_Hlk62541007"/>
      <w:r>
        <w:rPr>
          <w:rFonts w:hint="eastAsia" w:ascii="宋体" w:hAnsi="宋体"/>
          <w:spacing w:val="40"/>
          <w:kern w:val="0"/>
          <w:sz w:val="36"/>
          <w:szCs w:val="36"/>
        </w:rPr>
        <w:t>陆丰宝丽华新能源电力有限公司</w:t>
      </w:r>
      <w:bookmarkEnd w:id="0"/>
      <w:r>
        <w:rPr>
          <w:rFonts w:hint="eastAsia" w:ascii="宋体" w:hAnsi="宋体"/>
          <w:spacing w:val="20"/>
          <w:sz w:val="36"/>
          <w:szCs w:val="36"/>
        </w:rPr>
        <w:t>陆丰甲湖湾电厂（2×1000MW）超超临界燃煤汽轮发电机组</w:t>
      </w:r>
    </w:p>
    <w:p>
      <w:pPr>
        <w:jc w:val="center"/>
        <w:rPr>
          <w:rFonts w:ascii="宋体" w:hAnsi="宋体"/>
          <w:b/>
          <w:bCs/>
          <w:szCs w:val="21"/>
        </w:rPr>
      </w:pPr>
    </w:p>
    <w:p>
      <w:pPr>
        <w:jc w:val="center"/>
        <w:rPr>
          <w:rFonts w:ascii="宋体" w:hAnsi="宋体"/>
          <w:b/>
          <w:bCs/>
          <w:szCs w:val="21"/>
        </w:rPr>
      </w:pPr>
    </w:p>
    <w:p>
      <w:pPr>
        <w:rPr>
          <w:rFonts w:ascii="宋体" w:hAnsi="宋体"/>
          <w:b/>
          <w:bCs/>
          <w:szCs w:val="21"/>
        </w:rPr>
      </w:pPr>
    </w:p>
    <w:p>
      <w:pPr>
        <w:jc w:val="center"/>
        <w:rPr>
          <w:rFonts w:ascii="宋体" w:hAnsi="宋体"/>
          <w:b/>
          <w:bCs/>
          <w:szCs w:val="21"/>
        </w:rPr>
      </w:pPr>
    </w:p>
    <w:p>
      <w:pPr>
        <w:spacing w:line="360" w:lineRule="auto"/>
        <w:jc w:val="center"/>
        <w:rPr>
          <w:rFonts w:ascii="宋体" w:hAnsi="宋体"/>
          <w:b/>
          <w:bCs/>
          <w:szCs w:val="21"/>
        </w:rPr>
      </w:pPr>
    </w:p>
    <w:p>
      <w:pPr>
        <w:jc w:val="center"/>
        <w:rPr>
          <w:rFonts w:ascii="宋体" w:hAnsi="宋体"/>
          <w:b/>
          <w:bCs/>
          <w:szCs w:val="21"/>
        </w:rPr>
      </w:pPr>
    </w:p>
    <w:p>
      <w:pPr>
        <w:jc w:val="center"/>
        <w:rPr>
          <w:rFonts w:ascii="宋体" w:hAnsi="宋体"/>
          <w:b/>
          <w:bCs/>
          <w:szCs w:val="21"/>
        </w:rPr>
      </w:pPr>
    </w:p>
    <w:p>
      <w:pPr>
        <w:jc w:val="center"/>
        <w:rPr>
          <w:rFonts w:ascii="宋体" w:hAnsi="宋体"/>
          <w:b/>
          <w:bCs/>
          <w:szCs w:val="21"/>
        </w:rPr>
      </w:pPr>
    </w:p>
    <w:p>
      <w:pPr>
        <w:spacing w:line="360" w:lineRule="auto"/>
        <w:jc w:val="center"/>
        <w:rPr>
          <w:rFonts w:ascii="宋体"/>
          <w:b/>
          <w:bCs/>
          <w:color w:val="000000"/>
          <w:spacing w:val="40"/>
          <w:sz w:val="22"/>
          <w:szCs w:val="22"/>
        </w:rPr>
      </w:pPr>
      <w:r>
        <w:rPr>
          <w:rFonts w:hint="eastAsia" w:ascii="仿宋" w:hAnsi="仿宋" w:eastAsia="仿宋" w:cs="仿宋"/>
          <w:b/>
          <w:bCs/>
          <w:spacing w:val="40"/>
          <w:sz w:val="56"/>
          <w:szCs w:val="56"/>
        </w:rPr>
        <w:fldChar w:fldCharType="begin"/>
      </w:r>
      <w:r>
        <w:rPr>
          <w:rFonts w:hint="eastAsia" w:ascii="仿宋" w:hAnsi="仿宋" w:eastAsia="仿宋" w:cs="仿宋"/>
          <w:b/>
          <w:bCs/>
          <w:spacing w:val="40"/>
          <w:sz w:val="56"/>
          <w:szCs w:val="56"/>
        </w:rPr>
        <w:instrText xml:space="preserve"> MERGEFIELD "招标项目" </w:instrText>
      </w:r>
      <w:r>
        <w:rPr>
          <w:rFonts w:hint="eastAsia" w:ascii="仿宋" w:hAnsi="仿宋" w:eastAsia="仿宋" w:cs="仿宋"/>
          <w:b/>
          <w:bCs/>
          <w:spacing w:val="40"/>
          <w:sz w:val="56"/>
          <w:szCs w:val="56"/>
        </w:rPr>
        <w:fldChar w:fldCharType="separate"/>
      </w:r>
      <w:r>
        <w:rPr>
          <w:rFonts w:hint="eastAsia" w:ascii="仿宋" w:hAnsi="仿宋" w:eastAsia="仿宋" w:cs="仿宋"/>
          <w:b/>
          <w:bCs/>
          <w:spacing w:val="40"/>
          <w:sz w:val="56"/>
          <w:szCs w:val="56"/>
        </w:rPr>
        <w:t>采购项目</w:t>
      </w:r>
      <w:r>
        <w:rPr>
          <w:rFonts w:hint="eastAsia" w:ascii="仿宋" w:hAnsi="仿宋" w:eastAsia="仿宋" w:cs="仿宋"/>
          <w:b/>
          <w:bCs/>
          <w:spacing w:val="40"/>
          <w:sz w:val="56"/>
          <w:szCs w:val="56"/>
        </w:rPr>
        <w:fldChar w:fldCharType="end"/>
      </w:r>
      <w:r>
        <w:rPr>
          <w:rFonts w:hint="eastAsia" w:ascii="仿宋" w:hAnsi="仿宋" w:eastAsia="仿宋" w:cs="仿宋"/>
          <w:b/>
          <w:bCs/>
          <w:spacing w:val="40"/>
          <w:sz w:val="56"/>
          <w:szCs w:val="56"/>
        </w:rPr>
        <w:t>订货合同</w:t>
      </w: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tbl>
      <w:tblPr>
        <w:tblStyle w:val="8"/>
        <w:tblW w:w="3574" w:type="pct"/>
        <w:jc w:val="center"/>
        <w:tblLayout w:type="fixed"/>
        <w:tblCellMar>
          <w:top w:w="0" w:type="dxa"/>
          <w:left w:w="108" w:type="dxa"/>
          <w:bottom w:w="0" w:type="dxa"/>
          <w:right w:w="108" w:type="dxa"/>
        </w:tblCellMar>
      </w:tblPr>
      <w:tblGrid>
        <w:gridCol w:w="1914"/>
        <w:gridCol w:w="4416"/>
      </w:tblGrid>
      <w:tr>
        <w:tblPrEx>
          <w:tblCellMar>
            <w:top w:w="0" w:type="dxa"/>
            <w:left w:w="108" w:type="dxa"/>
            <w:bottom w:w="0" w:type="dxa"/>
            <w:right w:w="108" w:type="dxa"/>
          </w:tblCellMar>
        </w:tblPrEx>
        <w:trPr>
          <w:trHeight w:val="764" w:hRule="atLeast"/>
          <w:jc w:val="center"/>
        </w:trPr>
        <w:tc>
          <w:tcPr>
            <w:tcW w:w="1512" w:type="pct"/>
            <w:shd w:val="clear" w:color="auto" w:fill="auto"/>
            <w:vAlign w:val="center"/>
          </w:tcPr>
          <w:p>
            <w:pPr>
              <w:rPr>
                <w:rFonts w:ascii="宋体" w:hAnsi="宋体"/>
              </w:rPr>
            </w:pPr>
            <w:r>
              <w:rPr>
                <w:rFonts w:hint="eastAsia" w:ascii="宋体" w:hAnsi="宋体"/>
                <w:kern w:val="0"/>
              </w:rPr>
              <w:t>甲    方：</w:t>
            </w:r>
          </w:p>
        </w:tc>
        <w:tc>
          <w:tcPr>
            <w:tcW w:w="3487" w:type="pct"/>
            <w:shd w:val="clear" w:color="auto" w:fill="auto"/>
            <w:vAlign w:val="center"/>
          </w:tcPr>
          <w:p>
            <w:pPr>
              <w:rPr>
                <w:rFonts w:ascii="宋体" w:hAnsi="宋体"/>
              </w:rPr>
            </w:pPr>
            <w:r>
              <w:rPr>
                <w:rFonts w:hint="eastAsia" w:ascii="宋体" w:hAnsi="宋体"/>
                <w:spacing w:val="16"/>
                <w:kern w:val="0"/>
                <w:fitText w:val="3360" w:id="1190479293"/>
              </w:rPr>
              <w:t>陆丰宝丽华新能源电力有限公</w:t>
            </w:r>
            <w:r>
              <w:rPr>
                <w:rFonts w:hint="eastAsia" w:ascii="宋体" w:hAnsi="宋体"/>
                <w:spacing w:val="2"/>
                <w:kern w:val="0"/>
                <w:fitText w:val="3360" w:id="1190479293"/>
              </w:rPr>
              <w:t>司</w:t>
            </w:r>
          </w:p>
        </w:tc>
      </w:tr>
      <w:tr>
        <w:tblPrEx>
          <w:tblCellMar>
            <w:top w:w="0" w:type="dxa"/>
            <w:left w:w="108" w:type="dxa"/>
            <w:bottom w:w="0" w:type="dxa"/>
            <w:right w:w="108" w:type="dxa"/>
          </w:tblCellMar>
        </w:tblPrEx>
        <w:trPr>
          <w:trHeight w:val="776" w:hRule="atLeast"/>
          <w:jc w:val="center"/>
        </w:trPr>
        <w:tc>
          <w:tcPr>
            <w:tcW w:w="1512" w:type="pct"/>
            <w:shd w:val="clear" w:color="auto" w:fill="auto"/>
            <w:vAlign w:val="center"/>
          </w:tcPr>
          <w:p>
            <w:pPr>
              <w:rPr>
                <w:rFonts w:ascii="宋体" w:hAnsi="宋体"/>
                <w:kern w:val="0"/>
              </w:rPr>
            </w:pPr>
            <w:r>
              <w:rPr>
                <w:rFonts w:hint="eastAsia" w:ascii="宋体" w:hAnsi="宋体"/>
                <w:kern w:val="0"/>
              </w:rPr>
              <w:t>乙    方：</w:t>
            </w:r>
          </w:p>
        </w:tc>
        <w:tc>
          <w:tcPr>
            <w:tcW w:w="3487" w:type="pct"/>
            <w:shd w:val="clear" w:color="auto" w:fill="auto"/>
            <w:vAlign w:val="center"/>
          </w:tcPr>
          <w:p>
            <w:pPr>
              <w:rPr>
                <w:rFonts w:ascii="宋体" w:hAnsi="宋体"/>
                <w:kern w:val="0"/>
              </w:rPr>
            </w:pPr>
          </w:p>
        </w:tc>
      </w:tr>
      <w:tr>
        <w:tblPrEx>
          <w:tblCellMar>
            <w:top w:w="0" w:type="dxa"/>
            <w:left w:w="108" w:type="dxa"/>
            <w:bottom w:w="0" w:type="dxa"/>
            <w:right w:w="108" w:type="dxa"/>
          </w:tblCellMar>
        </w:tblPrEx>
        <w:trPr>
          <w:trHeight w:val="776" w:hRule="atLeast"/>
          <w:jc w:val="center"/>
        </w:trPr>
        <w:tc>
          <w:tcPr>
            <w:tcW w:w="1512" w:type="pct"/>
            <w:shd w:val="clear" w:color="auto" w:fill="auto"/>
            <w:vAlign w:val="center"/>
          </w:tcPr>
          <w:p>
            <w:pPr>
              <w:rPr>
                <w:rFonts w:ascii="宋体" w:hAnsi="宋体"/>
                <w:kern w:val="0"/>
              </w:rPr>
            </w:pPr>
            <w:r>
              <w:rPr>
                <w:rFonts w:hint="eastAsia" w:ascii="宋体" w:hAnsi="宋体"/>
                <w:kern w:val="0"/>
              </w:rPr>
              <w:t>签订时间：</w:t>
            </w:r>
          </w:p>
        </w:tc>
        <w:tc>
          <w:tcPr>
            <w:tcW w:w="3487" w:type="pct"/>
            <w:shd w:val="clear" w:color="auto" w:fill="auto"/>
            <w:vAlign w:val="center"/>
          </w:tcPr>
          <w:p>
            <w:pPr>
              <w:rPr>
                <w:rFonts w:ascii="宋体" w:hAnsi="宋体"/>
                <w:color w:val="FF0000"/>
              </w:rPr>
            </w:pPr>
          </w:p>
        </w:tc>
      </w:tr>
    </w:tbl>
    <w:p>
      <w:pPr>
        <w:spacing w:line="360" w:lineRule="auto"/>
        <w:jc w:val="center"/>
        <w:textAlignment w:val="baseline"/>
        <w:rPr>
          <w:rFonts w:ascii="宋体" w:hAnsi="宋体" w:eastAsia="宋体" w:cs="宋体"/>
          <w:bCs/>
          <w:color w:val="FF0000"/>
          <w:spacing w:val="36"/>
          <w:sz w:val="28"/>
          <w:szCs w:val="28"/>
          <w:lang w:bidi="ar"/>
        </w:rPr>
      </w:pPr>
    </w:p>
    <w:p>
      <w:pPr>
        <w:spacing w:line="360" w:lineRule="auto"/>
        <w:jc w:val="center"/>
        <w:textAlignment w:val="baseline"/>
        <w:rPr>
          <w:rFonts w:ascii="宋体" w:hAnsi="宋体" w:eastAsia="宋体" w:cs="宋体"/>
          <w:bCs/>
          <w:color w:val="FF0000"/>
          <w:spacing w:val="36"/>
          <w:sz w:val="28"/>
          <w:szCs w:val="28"/>
          <w:lang w:bidi="ar"/>
        </w:rPr>
        <w:sectPr>
          <w:headerReference r:id="rId4" w:type="first"/>
          <w:headerReference r:id="rId3" w:type="default"/>
          <w:pgSz w:w="12240" w:h="15840"/>
          <w:pgMar w:top="1440" w:right="1800" w:bottom="1440" w:left="1800" w:header="720" w:footer="720" w:gutter="0"/>
          <w:cols w:space="425" w:num="1"/>
          <w:titlePg/>
          <w:docGrid w:type="lines" w:linePitch="312" w:charSpace="0"/>
        </w:sectPr>
      </w:pPr>
    </w:p>
    <w:p>
      <w:pPr>
        <w:spacing w:line="360" w:lineRule="auto"/>
        <w:jc w:val="center"/>
        <w:textAlignment w:val="baseline"/>
        <w:rPr>
          <w:rFonts w:ascii="宋体" w:hAnsi="宋体" w:eastAsia="宋体" w:cs="宋体"/>
          <w:sz w:val="28"/>
          <w:szCs w:val="28"/>
        </w:rPr>
      </w:pPr>
      <w:r>
        <w:rPr>
          <w:rFonts w:hint="eastAsia" w:ascii="宋体" w:hAnsi="宋体" w:eastAsia="宋体" w:cs="宋体"/>
          <w:bCs/>
          <w:spacing w:val="36"/>
          <w:sz w:val="28"/>
          <w:szCs w:val="28"/>
          <w:lang w:bidi="ar"/>
        </w:rPr>
        <w:fldChar w:fldCharType="begin"/>
      </w:r>
      <w:r>
        <w:rPr>
          <w:rFonts w:hint="eastAsia" w:ascii="宋体" w:hAnsi="宋体" w:eastAsia="宋体" w:cs="宋体"/>
          <w:bCs/>
          <w:spacing w:val="36"/>
          <w:sz w:val="28"/>
          <w:szCs w:val="28"/>
          <w:lang w:bidi="ar"/>
        </w:rPr>
        <w:instrText xml:space="preserve"> MERGEFIELD "招标项目" </w:instrText>
      </w:r>
      <w:r>
        <w:rPr>
          <w:rFonts w:hint="eastAsia" w:ascii="宋体" w:hAnsi="宋体" w:eastAsia="宋体" w:cs="宋体"/>
          <w:bCs/>
          <w:spacing w:val="36"/>
          <w:sz w:val="28"/>
          <w:szCs w:val="28"/>
          <w:lang w:bidi="ar"/>
        </w:rPr>
        <w:fldChar w:fldCharType="separate"/>
      </w:r>
      <w:r>
        <w:rPr>
          <w:rFonts w:hint="eastAsia" w:ascii="宋体" w:hAnsi="宋体" w:eastAsia="宋体" w:cs="宋体"/>
          <w:bCs/>
          <w:spacing w:val="36"/>
          <w:sz w:val="28"/>
          <w:szCs w:val="28"/>
          <w:lang w:bidi="ar"/>
        </w:rPr>
        <w:t>采购项目</w:t>
      </w:r>
      <w:r>
        <w:rPr>
          <w:rFonts w:hint="eastAsia" w:ascii="宋体" w:hAnsi="宋体" w:eastAsia="宋体" w:cs="宋体"/>
          <w:bCs/>
          <w:spacing w:val="36"/>
          <w:sz w:val="28"/>
          <w:szCs w:val="28"/>
          <w:lang w:bidi="ar"/>
        </w:rPr>
        <w:fldChar w:fldCharType="end"/>
      </w:r>
      <w:r>
        <w:rPr>
          <w:rFonts w:hint="eastAsia" w:ascii="宋体" w:hAnsi="宋体" w:eastAsia="宋体" w:cs="宋体"/>
          <w:bCs/>
          <w:spacing w:val="36"/>
          <w:sz w:val="28"/>
          <w:szCs w:val="28"/>
          <w:lang w:bidi="ar"/>
        </w:rPr>
        <w:t>订货合同</w:t>
      </w:r>
    </w:p>
    <w:p>
      <w:pPr>
        <w:pStyle w:val="7"/>
        <w:widowControl w:val="0"/>
        <w:spacing w:beforeAutospacing="0" w:afterAutospacing="0" w:line="360" w:lineRule="auto"/>
        <w:jc w:val="both"/>
        <w:textAlignment w:val="baseline"/>
        <w:rPr>
          <w:rFonts w:hint="default" w:cs="宋体"/>
        </w:rPr>
      </w:pPr>
      <w:r>
        <w:rPr>
          <w:rFonts w:cs="宋体"/>
          <w:kern w:val="2"/>
          <w:lang w:bidi="ar"/>
        </w:rPr>
        <w:t>买    方：陆丰宝丽华新能源电力有限公司</w:t>
      </w:r>
    </w:p>
    <w:p>
      <w:pPr>
        <w:pStyle w:val="7"/>
        <w:spacing w:before="312" w:after="312" w:line="360" w:lineRule="auto"/>
        <w:textAlignment w:val="baseline"/>
        <w:rPr>
          <w:rFonts w:hint="default" w:cs="宋体"/>
        </w:rPr>
      </w:pPr>
      <w:r>
        <w:rPr>
          <w:rFonts w:cs="宋体"/>
          <w:kern w:val="2"/>
          <w:lang w:bidi="ar"/>
        </w:rPr>
        <w:t>卖    方：</w:t>
      </w:r>
    </w:p>
    <w:p>
      <w:pPr>
        <w:pStyle w:val="7"/>
        <w:widowControl w:val="0"/>
        <w:spacing w:beforeAutospacing="0" w:afterAutospacing="0" w:line="360" w:lineRule="auto"/>
        <w:jc w:val="both"/>
        <w:textAlignment w:val="baseline"/>
        <w:rPr>
          <w:rFonts w:hint="default" w:cs="宋体"/>
          <w:lang w:eastAsia="zh-Hans"/>
        </w:rPr>
      </w:pPr>
      <w:r>
        <w:rPr>
          <w:rFonts w:cs="宋体"/>
          <w:kern w:val="2"/>
          <w:lang w:bidi="ar"/>
        </w:rPr>
        <w:t>签订地点：广东</w:t>
      </w:r>
      <w:r>
        <w:rPr>
          <w:rFonts w:cs="宋体"/>
          <w:kern w:val="2"/>
          <w:lang w:eastAsia="zh-Hans" w:bidi="ar"/>
        </w:rPr>
        <w:t>省梅州市梅县区</w:t>
      </w:r>
    </w:p>
    <w:p>
      <w:pPr>
        <w:pStyle w:val="7"/>
        <w:widowControl w:val="0"/>
        <w:spacing w:beforeAutospacing="0" w:afterAutospacing="0" w:line="360" w:lineRule="auto"/>
        <w:ind w:firstLine="510"/>
        <w:jc w:val="both"/>
        <w:textAlignment w:val="baseline"/>
        <w:rPr>
          <w:rFonts w:hint="default" w:cs="宋体"/>
        </w:rPr>
      </w:pPr>
      <w:r>
        <w:rPr>
          <w:rFonts w:cs="宋体"/>
          <w:kern w:val="2"/>
          <w:lang w:bidi="ar"/>
        </w:rPr>
        <w:t>买方、卖方就陆丰宝丽华新能源电力有限公司广东陆丰甲湖湾电厂新建工程</w:t>
      </w:r>
      <w:bookmarkStart w:id="1" w:name="_GoBack"/>
      <w:bookmarkEnd w:id="1"/>
      <w:r>
        <w:rPr>
          <w:rFonts w:cs="宋体"/>
          <w:kern w:val="2"/>
          <w:lang w:bidi="ar"/>
        </w:rPr>
        <w:t>2×1000MW超超临界燃煤机组</w:t>
      </w:r>
      <w:r>
        <w:rPr>
          <w:rFonts w:cs="宋体"/>
          <w:lang w:bidi="ar"/>
        </w:rPr>
        <w:fldChar w:fldCharType="begin"/>
      </w:r>
      <w:r>
        <w:rPr>
          <w:rFonts w:cs="宋体"/>
          <w:lang w:bidi="ar"/>
        </w:rPr>
        <w:instrText xml:space="preserve"> MERGEFIELD "招标项目" </w:instrText>
      </w:r>
      <w:r>
        <w:rPr>
          <w:rFonts w:cs="宋体"/>
          <w:lang w:bidi="ar"/>
        </w:rPr>
        <w:fldChar w:fldCharType="separate"/>
      </w:r>
      <w:r>
        <w:rPr>
          <w:rFonts w:cs="宋体"/>
          <w:lang w:bidi="ar"/>
        </w:rPr>
        <w:t>备件采购项目</w:t>
      </w:r>
      <w:r>
        <w:rPr>
          <w:rFonts w:cs="宋体"/>
          <w:lang w:bidi="ar"/>
        </w:rPr>
        <w:fldChar w:fldCharType="end"/>
      </w:r>
      <w:r>
        <w:rPr>
          <w:rFonts w:cs="宋体"/>
          <w:kern w:val="2"/>
          <w:lang w:bidi="ar"/>
        </w:rPr>
        <w:t>订货事宜，经充分协商，一致同意按如下条款签订本合同。</w:t>
      </w:r>
    </w:p>
    <w:p>
      <w:pPr>
        <w:numPr>
          <w:ilvl w:val="0"/>
          <w:numId w:val="3"/>
        </w:numPr>
        <w:spacing w:before="50" w:line="360" w:lineRule="auto"/>
        <w:textAlignment w:val="baseline"/>
        <w:rPr>
          <w:rFonts w:ascii="宋体" w:hAnsi="宋体" w:eastAsia="宋体" w:cs="宋体"/>
          <w:b/>
          <w:bCs/>
          <w:sz w:val="24"/>
        </w:rPr>
      </w:pPr>
      <w:r>
        <w:rPr>
          <w:rFonts w:hint="eastAsia" w:ascii="宋体" w:hAnsi="宋体" w:eastAsia="宋体" w:cs="宋体"/>
          <w:b/>
          <w:bCs/>
          <w:sz w:val="24"/>
          <w:lang w:bidi="ar"/>
        </w:rPr>
        <w:t>合同价款</w:t>
      </w:r>
    </w:p>
    <w:p>
      <w:pPr>
        <w:numPr>
          <w:ilvl w:val="1"/>
          <w:numId w:val="3"/>
        </w:numPr>
        <w:spacing w:before="50" w:line="360" w:lineRule="auto"/>
        <w:textAlignment w:val="baseline"/>
        <w:rPr>
          <w:rFonts w:ascii="宋体" w:hAnsi="宋体" w:eastAsia="宋体" w:cs="宋体"/>
          <w:sz w:val="24"/>
        </w:rPr>
      </w:pPr>
      <w:r>
        <w:rPr>
          <w:rFonts w:hint="eastAsia" w:ascii="宋体" w:hAnsi="宋体" w:eastAsia="宋体" w:cs="宋体"/>
          <w:sz w:val="24"/>
          <w:lang w:bidi="ar"/>
        </w:rPr>
        <w:t>产品名称、型号、规格、数量、金额、供货价格:</w:t>
      </w:r>
    </w:p>
    <w:p>
      <w:pPr>
        <w:pStyle w:val="7"/>
        <w:widowControl w:val="0"/>
        <w:numPr>
          <w:ilvl w:val="1"/>
          <w:numId w:val="4"/>
        </w:numPr>
        <w:spacing w:before="156" w:beforeAutospacing="0" w:afterAutospacing="0" w:line="360" w:lineRule="auto"/>
        <w:ind w:left="650" w:hanging="430"/>
        <w:jc w:val="both"/>
        <w:textAlignment w:val="baseline"/>
        <w:rPr>
          <w:rFonts w:hint="default" w:cs="宋体"/>
        </w:rPr>
      </w:pPr>
      <w:r>
        <w:rPr>
          <w:rFonts w:cs="宋体"/>
          <w:kern w:val="2"/>
          <w:lang w:bidi="ar"/>
        </w:rPr>
        <w:t>中标价格：</w:t>
      </w:r>
      <w:r>
        <w:rPr>
          <w:rFonts w:cs="宋体"/>
          <w:color w:val="FF0000"/>
          <w:kern w:val="2"/>
          <w:szCs w:val="28"/>
          <w:lang w:bidi="ar"/>
        </w:rPr>
        <w:t>。</w:t>
      </w:r>
      <w:r>
        <w:rPr>
          <w:rFonts w:cs="宋体"/>
          <w:kern w:val="2"/>
          <w:lang w:bidi="ar"/>
        </w:rPr>
        <w:t>经双方友好协商，优惠后合同总价:。(含从卖方到买方现场的运输、装卸、保险、设备包装等一切费用)。合同价格在合同约定的范围内为固定不变价格（即闭口价，包括合同价格不因政策变化或其他原因而变化）；回收抵扣物资由回收提供运费。</w:t>
      </w:r>
    </w:p>
    <w:p>
      <w:pPr>
        <w:pStyle w:val="7"/>
        <w:widowControl w:val="0"/>
        <w:numPr>
          <w:ilvl w:val="1"/>
          <w:numId w:val="5"/>
        </w:numPr>
        <w:spacing w:before="156" w:beforeAutospacing="0" w:afterAutospacing="0" w:line="360" w:lineRule="auto"/>
        <w:jc w:val="both"/>
        <w:textAlignment w:val="baseline"/>
        <w:rPr>
          <w:rFonts w:hint="default" w:cs="宋体"/>
        </w:rPr>
      </w:pPr>
      <w:r>
        <w:rPr>
          <w:rFonts w:cs="宋体"/>
          <w:kern w:val="2"/>
          <w:lang w:bidi="ar"/>
        </w:rPr>
        <w:t>供货范围：详见附表（供货清单）。</w:t>
      </w:r>
    </w:p>
    <w:p>
      <w:pPr>
        <w:numPr>
          <w:ilvl w:val="0"/>
          <w:numId w:val="3"/>
        </w:numPr>
        <w:spacing w:before="50" w:line="360" w:lineRule="auto"/>
        <w:textAlignment w:val="baseline"/>
        <w:rPr>
          <w:rFonts w:ascii="宋体" w:hAnsi="宋体" w:eastAsia="宋体" w:cs="宋体"/>
          <w:b/>
          <w:bCs/>
          <w:sz w:val="24"/>
        </w:rPr>
      </w:pPr>
      <w:r>
        <w:rPr>
          <w:rFonts w:hint="eastAsia" w:ascii="宋体" w:hAnsi="宋体" w:eastAsia="宋体" w:cs="宋体"/>
          <w:b/>
          <w:bCs/>
          <w:sz w:val="24"/>
          <w:lang w:bidi="ar"/>
        </w:rPr>
        <w:t xml:space="preserve"> 质量、验收标准</w:t>
      </w:r>
    </w:p>
    <w:p>
      <w:pPr>
        <w:numPr>
          <w:ilvl w:val="1"/>
          <w:numId w:val="6"/>
        </w:numPr>
        <w:tabs>
          <w:tab w:val="left" w:pos="640"/>
        </w:tabs>
        <w:spacing w:line="360" w:lineRule="auto"/>
        <w:ind w:left="7" w:hanging="7"/>
        <w:textAlignment w:val="baseline"/>
        <w:rPr>
          <w:rFonts w:ascii="宋体" w:hAnsi="宋体" w:eastAsia="宋体" w:cs="宋体"/>
          <w:sz w:val="24"/>
        </w:rPr>
      </w:pPr>
      <w:r>
        <w:rPr>
          <w:rFonts w:hint="eastAsia" w:ascii="宋体" w:hAnsi="宋体" w:eastAsia="宋体" w:cs="宋体"/>
          <w:sz w:val="24"/>
          <w:lang w:bidi="ar"/>
        </w:rPr>
        <w:t>卖方应按照采购通知规定的时间供货。卖方在交货前24小时通知买方做好接货准备，卖方提前交货的，要经买方同意，否则产品在交货日期前的毁损、灭失风险及有关的保管费用由卖方自行承担。</w:t>
      </w:r>
    </w:p>
    <w:p>
      <w:pPr>
        <w:numPr>
          <w:ilvl w:val="1"/>
          <w:numId w:val="6"/>
        </w:numPr>
        <w:tabs>
          <w:tab w:val="left" w:pos="640"/>
        </w:tabs>
        <w:spacing w:line="360" w:lineRule="auto"/>
        <w:ind w:left="7" w:hanging="7"/>
        <w:textAlignment w:val="baseline"/>
        <w:rPr>
          <w:rFonts w:ascii="宋体" w:hAnsi="宋体" w:eastAsia="宋体" w:cs="宋体"/>
          <w:sz w:val="24"/>
        </w:rPr>
      </w:pPr>
      <w:r>
        <w:rPr>
          <w:rFonts w:hint="eastAsia" w:ascii="宋体" w:hAnsi="宋体" w:eastAsia="宋体" w:cs="宋体"/>
          <w:sz w:val="24"/>
          <w:lang w:bidi="ar"/>
        </w:rPr>
        <w:t>质量要求符合国家标准。</w:t>
      </w:r>
    </w:p>
    <w:p>
      <w:pPr>
        <w:numPr>
          <w:ilvl w:val="1"/>
          <w:numId w:val="6"/>
        </w:numPr>
        <w:tabs>
          <w:tab w:val="left" w:pos="640"/>
        </w:tabs>
        <w:spacing w:line="360" w:lineRule="auto"/>
        <w:ind w:left="7" w:hanging="7"/>
        <w:textAlignment w:val="baseline"/>
        <w:rPr>
          <w:rFonts w:ascii="宋体" w:hAnsi="宋体" w:eastAsia="宋体" w:cs="宋体"/>
          <w:sz w:val="24"/>
        </w:rPr>
      </w:pPr>
      <w:r>
        <w:rPr>
          <w:rFonts w:hint="eastAsia" w:ascii="宋体" w:hAnsi="宋体" w:eastAsia="宋体" w:cs="宋体"/>
          <w:sz w:val="24"/>
          <w:lang w:bidi="ar"/>
        </w:rPr>
        <w:t>质量保证期为货到甲湖湾电厂后一年(如所供设备厂家保质期超一年，则按厂家保质期为准)，在保质期内出现故障，防腐出现褪色、开裂、锈蚀由卖方无条件派员到买方电厂现场进行售后服务。</w:t>
      </w:r>
    </w:p>
    <w:p>
      <w:pPr>
        <w:numPr>
          <w:ilvl w:val="1"/>
          <w:numId w:val="6"/>
        </w:numPr>
        <w:tabs>
          <w:tab w:val="left" w:pos="640"/>
        </w:tabs>
        <w:spacing w:line="360" w:lineRule="auto"/>
        <w:ind w:left="7" w:hanging="7"/>
        <w:textAlignment w:val="baseline"/>
        <w:rPr>
          <w:rFonts w:ascii="宋体" w:hAnsi="宋体" w:eastAsia="宋体" w:cs="宋体"/>
          <w:sz w:val="24"/>
        </w:rPr>
      </w:pPr>
      <w:r>
        <w:rPr>
          <w:rFonts w:hint="eastAsia" w:ascii="宋体" w:hAnsi="宋体" w:eastAsia="宋体" w:cs="宋体"/>
          <w:sz w:val="24"/>
          <w:lang w:bidi="ar"/>
        </w:rPr>
        <w:t>卖方应严格按照买方技术规范要求的质量供货，发货后与交货联系人核对到货情况，买方提出的任何质量投诉，卖方应立即采取更正行动予以改进，并在24小时内反馈给买方。</w:t>
      </w:r>
    </w:p>
    <w:p>
      <w:pPr>
        <w:numPr>
          <w:ilvl w:val="1"/>
          <w:numId w:val="6"/>
        </w:numPr>
        <w:tabs>
          <w:tab w:val="left" w:pos="640"/>
        </w:tabs>
        <w:spacing w:line="360" w:lineRule="auto"/>
        <w:ind w:left="7" w:hanging="7"/>
        <w:textAlignment w:val="baseline"/>
        <w:rPr>
          <w:rFonts w:ascii="宋体" w:hAnsi="宋体" w:eastAsia="宋体" w:cs="宋体"/>
          <w:sz w:val="24"/>
        </w:rPr>
      </w:pPr>
      <w:r>
        <w:rPr>
          <w:rFonts w:hint="eastAsia" w:ascii="宋体" w:hAnsi="宋体" w:eastAsia="宋体" w:cs="宋体"/>
          <w:sz w:val="24"/>
          <w:lang w:bidi="ar"/>
        </w:rPr>
        <w:t>如果在验收中产生纠纷，由买卖双方公认的第三方检验。相关费用由责任方承担。</w:t>
      </w:r>
    </w:p>
    <w:p>
      <w:pPr>
        <w:numPr>
          <w:ilvl w:val="0"/>
          <w:numId w:val="3"/>
        </w:numPr>
        <w:spacing w:before="50" w:line="360" w:lineRule="auto"/>
        <w:textAlignment w:val="baseline"/>
        <w:rPr>
          <w:rFonts w:ascii="宋体" w:hAnsi="宋体" w:eastAsia="宋体" w:cs="宋体"/>
          <w:b/>
          <w:bCs/>
          <w:sz w:val="24"/>
        </w:rPr>
      </w:pPr>
      <w:r>
        <w:rPr>
          <w:rFonts w:hint="eastAsia" w:ascii="宋体" w:hAnsi="宋体" w:eastAsia="宋体" w:cs="宋体"/>
          <w:b/>
          <w:bCs/>
          <w:sz w:val="24"/>
          <w:lang w:bidi="ar"/>
        </w:rPr>
        <w:t>包装与运输：</w:t>
      </w:r>
    </w:p>
    <w:p>
      <w:pPr>
        <w:spacing w:before="50" w:line="360" w:lineRule="auto"/>
        <w:ind w:left="17" w:leftChars="8" w:firstLine="441" w:firstLineChars="184"/>
        <w:textAlignment w:val="baseline"/>
        <w:rPr>
          <w:rFonts w:ascii="宋体" w:hAnsi="宋体" w:eastAsia="宋体" w:cs="宋体"/>
          <w:sz w:val="24"/>
        </w:rPr>
      </w:pPr>
      <w:r>
        <w:rPr>
          <w:rFonts w:hint="eastAsia" w:ascii="宋体" w:hAnsi="宋体" w:eastAsia="宋体" w:cs="宋体"/>
          <w:sz w:val="24"/>
          <w:lang w:bidi="ar"/>
        </w:rPr>
        <w:t>外包装应能保证所购物品在运输过程中不发生损坏，包装物不回收。运输方式及费用负担：公路、铁路、航空运输，运费由卖方承担。</w:t>
      </w:r>
    </w:p>
    <w:p>
      <w:pPr>
        <w:numPr>
          <w:ilvl w:val="0"/>
          <w:numId w:val="3"/>
        </w:numPr>
        <w:spacing w:before="50" w:line="360" w:lineRule="auto"/>
        <w:textAlignment w:val="baseline"/>
        <w:rPr>
          <w:rFonts w:ascii="宋体" w:hAnsi="宋体" w:eastAsia="宋体" w:cs="宋体"/>
          <w:b/>
          <w:bCs/>
          <w:sz w:val="24"/>
        </w:rPr>
      </w:pPr>
      <w:r>
        <w:rPr>
          <w:rFonts w:hint="eastAsia" w:ascii="宋体" w:hAnsi="宋体" w:eastAsia="宋体" w:cs="宋体"/>
          <w:b/>
          <w:bCs/>
          <w:sz w:val="24"/>
          <w:lang w:bidi="ar"/>
        </w:rPr>
        <w:t>交货地点和时间</w:t>
      </w:r>
    </w:p>
    <w:p>
      <w:pPr>
        <w:tabs>
          <w:tab w:val="left" w:pos="360"/>
        </w:tabs>
        <w:spacing w:line="360" w:lineRule="auto"/>
        <w:textAlignment w:val="baseline"/>
        <w:rPr>
          <w:rFonts w:ascii="宋体" w:hAnsi="宋体" w:eastAsia="宋体" w:cs="宋体"/>
          <w:sz w:val="24"/>
        </w:rPr>
      </w:pPr>
      <w:r>
        <w:rPr>
          <w:rFonts w:hint="eastAsia" w:ascii="宋体" w:hAnsi="宋体" w:eastAsia="宋体" w:cs="宋体"/>
          <w:sz w:val="24"/>
          <w:lang w:bidi="ar"/>
        </w:rPr>
        <w:t>交货地点：</w:t>
      </w:r>
      <w:r>
        <w:rPr>
          <w:rFonts w:hint="eastAsia" w:ascii="宋体" w:hAnsi="宋体" w:eastAsia="宋体" w:cs="宋体"/>
          <w:sz w:val="24"/>
          <w:u w:val="single" w:color="000000"/>
          <w:lang w:bidi="ar"/>
        </w:rPr>
        <w:t>广东省陆丰市湖东镇宝丽华甲湖湾能源基地</w:t>
      </w:r>
      <w:r>
        <w:rPr>
          <w:rFonts w:hint="eastAsia" w:ascii="宋体" w:hAnsi="宋体" w:eastAsia="宋体" w:cs="宋体"/>
          <w:sz w:val="24"/>
          <w:lang w:bidi="ar"/>
        </w:rPr>
        <w:t>（具体卸货地点由买方指定）。</w:t>
      </w:r>
    </w:p>
    <w:p>
      <w:pPr>
        <w:tabs>
          <w:tab w:val="left" w:pos="540"/>
        </w:tabs>
        <w:spacing w:line="360" w:lineRule="auto"/>
        <w:textAlignment w:val="baseline"/>
        <w:rPr>
          <w:rFonts w:ascii="宋体" w:hAnsi="宋体" w:eastAsia="宋体" w:cs="宋体"/>
          <w:sz w:val="24"/>
        </w:rPr>
      </w:pPr>
      <w:r>
        <w:rPr>
          <w:rFonts w:hint="eastAsia" w:ascii="宋体" w:hAnsi="宋体" w:eastAsia="宋体" w:cs="宋体"/>
          <w:sz w:val="24"/>
          <w:lang w:bidi="ar"/>
        </w:rPr>
        <w:t xml:space="preserve">联系人：    </w:t>
      </w:r>
    </w:p>
    <w:p>
      <w:pPr>
        <w:numPr>
          <w:ilvl w:val="0"/>
          <w:numId w:val="3"/>
        </w:numPr>
        <w:spacing w:before="50" w:line="360" w:lineRule="auto"/>
        <w:textAlignment w:val="baseline"/>
        <w:rPr>
          <w:rFonts w:ascii="宋体" w:hAnsi="宋体" w:eastAsia="宋体" w:cs="宋体"/>
          <w:b/>
          <w:bCs/>
          <w:sz w:val="24"/>
        </w:rPr>
      </w:pPr>
      <w:r>
        <w:rPr>
          <w:rFonts w:hint="eastAsia" w:ascii="宋体" w:hAnsi="宋体" w:eastAsia="宋体" w:cs="宋体"/>
          <w:b/>
          <w:bCs/>
          <w:sz w:val="24"/>
          <w:lang w:bidi="ar"/>
        </w:rPr>
        <w:t>结算方式及支付方式</w:t>
      </w:r>
    </w:p>
    <w:p>
      <w:pPr>
        <w:pStyle w:val="2"/>
        <w:widowControl/>
        <w:numPr>
          <w:ilvl w:val="1"/>
          <w:numId w:val="3"/>
        </w:numPr>
        <w:tabs>
          <w:tab w:val="left" w:pos="640"/>
          <w:tab w:val="left" w:pos="1260"/>
        </w:tabs>
        <w:spacing w:before="50"/>
        <w:ind w:left="624" w:hanging="624"/>
        <w:textAlignment w:val="baseline"/>
        <w:rPr>
          <w:rFonts w:ascii="宋体" w:hAnsi="宋体" w:cs="宋体"/>
          <w:sz w:val="24"/>
        </w:rPr>
      </w:pPr>
      <w:r>
        <w:rPr>
          <w:rFonts w:hint="eastAsia" w:ascii="宋体" w:hAnsi="宋体" w:cs="宋体"/>
          <w:sz w:val="24"/>
        </w:rPr>
        <w:t>本合同使用货币种类为人民币(RMB)。</w:t>
      </w:r>
    </w:p>
    <w:p>
      <w:pPr>
        <w:pStyle w:val="2"/>
        <w:widowControl/>
        <w:numPr>
          <w:ilvl w:val="1"/>
          <w:numId w:val="3"/>
        </w:numPr>
        <w:tabs>
          <w:tab w:val="left" w:pos="640"/>
        </w:tabs>
        <w:spacing w:before="50"/>
        <w:ind w:left="624" w:hanging="624"/>
        <w:textAlignment w:val="baseline"/>
        <w:rPr>
          <w:rFonts w:ascii="宋体" w:hAnsi="宋体" w:cs="宋体"/>
          <w:sz w:val="24"/>
        </w:rPr>
      </w:pPr>
      <w:r>
        <w:rPr>
          <w:rFonts w:hint="eastAsia" w:ascii="宋体" w:hAnsi="宋体" w:cs="宋体"/>
          <w:sz w:val="24"/>
        </w:rPr>
        <w:t>付款方式：银行汇款。</w:t>
      </w:r>
    </w:p>
    <w:p>
      <w:pPr>
        <w:pStyle w:val="2"/>
        <w:widowControl/>
        <w:numPr>
          <w:ilvl w:val="1"/>
          <w:numId w:val="3"/>
        </w:numPr>
        <w:tabs>
          <w:tab w:val="left" w:pos="640"/>
          <w:tab w:val="left" w:pos="1060"/>
        </w:tabs>
        <w:spacing w:before="50"/>
        <w:ind w:left="624" w:hanging="624"/>
        <w:textAlignment w:val="baseline"/>
        <w:rPr>
          <w:rFonts w:ascii="宋体" w:hAnsi="宋体" w:cs="宋体"/>
          <w:sz w:val="24"/>
        </w:rPr>
      </w:pPr>
      <w:r>
        <w:rPr>
          <w:rFonts w:hint="eastAsia" w:ascii="宋体" w:hAnsi="宋体" w:cs="宋体"/>
          <w:sz w:val="24"/>
        </w:rPr>
        <w:t>合同价款的支付：</w:t>
      </w:r>
    </w:p>
    <w:p>
      <w:pPr>
        <w:pStyle w:val="2"/>
        <w:widowControl/>
        <w:numPr>
          <w:ilvl w:val="2"/>
          <w:numId w:val="3"/>
        </w:numPr>
        <w:tabs>
          <w:tab w:val="left" w:pos="640"/>
          <w:tab w:val="left" w:pos="840"/>
        </w:tabs>
        <w:spacing w:before="50"/>
        <w:rPr>
          <w:rFonts w:ascii="宋体" w:hAnsi="宋体" w:cs="宋体"/>
          <w:sz w:val="24"/>
        </w:rPr>
      </w:pPr>
      <w:r>
        <w:rPr>
          <w:rFonts w:hint="eastAsia" w:ascii="宋体" w:hAnsi="宋体" w:cs="宋体"/>
          <w:sz w:val="24"/>
        </w:rPr>
        <w:t>合同价款的支付：到货材料款的支付</w:t>
      </w:r>
    </w:p>
    <w:p>
      <w:pPr>
        <w:pStyle w:val="2"/>
        <w:widowControl/>
        <w:numPr>
          <w:ilvl w:val="2"/>
          <w:numId w:val="3"/>
        </w:numPr>
        <w:tabs>
          <w:tab w:val="left" w:pos="640"/>
          <w:tab w:val="left" w:pos="840"/>
        </w:tabs>
        <w:spacing w:before="50"/>
        <w:rPr>
          <w:rFonts w:hint="default" w:ascii="宋体" w:hAnsi="宋体" w:cs="宋体"/>
          <w:sz w:val="24"/>
        </w:rPr>
      </w:pPr>
      <w:r>
        <w:rPr>
          <w:rFonts w:hint="eastAsia" w:ascii="宋体" w:hAnsi="宋体" w:cs="宋体"/>
          <w:sz w:val="24"/>
          <w:lang w:val="en-GB"/>
        </w:rPr>
        <w:t>合同款2万元及以下时，原则上货到验收合格后付款100%；合同款2-5万元时，原则上货到验收合格后付款95%，质保金5%；合同款5万元以上时，原则上货到验收合格后付款90%，质保金10%。合同款10万元及以下时需要安装调试的设备货到验收付款30%，调试验收合格后付款60%，质保金10%。</w:t>
      </w:r>
      <w:r>
        <w:rPr>
          <w:rFonts w:hint="eastAsia" w:ascii="宋体" w:hAnsi="宋体" w:cs="宋体"/>
          <w:sz w:val="24"/>
        </w:rPr>
        <w:t>。</w:t>
      </w:r>
    </w:p>
    <w:p>
      <w:pPr>
        <w:numPr>
          <w:ilvl w:val="0"/>
          <w:numId w:val="3"/>
        </w:numPr>
        <w:spacing w:before="50" w:line="360" w:lineRule="auto"/>
        <w:textAlignment w:val="baseline"/>
        <w:rPr>
          <w:rFonts w:ascii="宋体" w:hAnsi="宋体" w:eastAsia="宋体" w:cs="宋体"/>
          <w:b/>
          <w:sz w:val="24"/>
        </w:rPr>
      </w:pPr>
      <w:r>
        <w:rPr>
          <w:rFonts w:hint="eastAsia" w:ascii="宋体" w:hAnsi="宋体" w:eastAsia="宋体" w:cs="宋体"/>
          <w:b/>
          <w:sz w:val="24"/>
          <w:lang w:bidi="ar"/>
        </w:rPr>
        <w:t xml:space="preserve"> 解除合同</w:t>
      </w:r>
    </w:p>
    <w:p>
      <w:pPr>
        <w:numPr>
          <w:ilvl w:val="1"/>
          <w:numId w:val="7"/>
        </w:numPr>
        <w:spacing w:line="360" w:lineRule="auto"/>
        <w:textAlignment w:val="baseline"/>
        <w:rPr>
          <w:rFonts w:ascii="宋体" w:hAnsi="宋体" w:eastAsia="宋体" w:cs="宋体"/>
          <w:sz w:val="24"/>
        </w:rPr>
      </w:pPr>
      <w:r>
        <w:rPr>
          <w:rFonts w:hint="eastAsia" w:ascii="宋体" w:hAnsi="宋体" w:eastAsia="宋体" w:cs="宋体"/>
          <w:sz w:val="24"/>
          <w:lang w:bidi="ar"/>
        </w:rPr>
        <w:t>因卖方产品质量原因严重威胁电厂安全生产，买方有权单方解除合同；</w:t>
      </w:r>
    </w:p>
    <w:p>
      <w:pPr>
        <w:numPr>
          <w:ilvl w:val="1"/>
          <w:numId w:val="7"/>
        </w:numPr>
        <w:spacing w:line="360" w:lineRule="auto"/>
        <w:textAlignment w:val="baseline"/>
        <w:rPr>
          <w:rFonts w:ascii="宋体" w:hAnsi="宋体" w:eastAsia="宋体" w:cs="宋体"/>
          <w:sz w:val="24"/>
        </w:rPr>
      </w:pPr>
      <w:r>
        <w:rPr>
          <w:rFonts w:hint="eastAsia" w:ascii="宋体" w:hAnsi="宋体" w:eastAsia="宋体" w:cs="宋体"/>
          <w:sz w:val="24"/>
          <w:lang w:bidi="ar"/>
        </w:rPr>
        <w:t>卖方不按时供货的，买方有权单方解除合同；</w:t>
      </w:r>
    </w:p>
    <w:p>
      <w:pPr>
        <w:numPr>
          <w:ilvl w:val="0"/>
          <w:numId w:val="3"/>
        </w:numPr>
        <w:spacing w:before="50" w:line="360" w:lineRule="auto"/>
        <w:textAlignment w:val="baseline"/>
        <w:rPr>
          <w:rFonts w:ascii="宋体" w:hAnsi="宋体" w:eastAsia="宋体" w:cs="宋体"/>
          <w:b/>
          <w:sz w:val="24"/>
        </w:rPr>
      </w:pPr>
      <w:r>
        <w:rPr>
          <w:rFonts w:hint="eastAsia" w:ascii="宋体" w:hAnsi="宋体" w:eastAsia="宋体" w:cs="宋体"/>
          <w:b/>
          <w:sz w:val="24"/>
          <w:lang w:bidi="ar"/>
        </w:rPr>
        <w:t xml:space="preserve"> 不可抗力</w:t>
      </w:r>
    </w:p>
    <w:p>
      <w:pPr>
        <w:numPr>
          <w:ilvl w:val="1"/>
          <w:numId w:val="8"/>
        </w:numPr>
        <w:tabs>
          <w:tab w:val="left" w:pos="640"/>
        </w:tabs>
        <w:spacing w:line="360" w:lineRule="auto"/>
        <w:ind w:left="220" w:hanging="220"/>
        <w:textAlignment w:val="baseline"/>
        <w:rPr>
          <w:rFonts w:ascii="宋体" w:hAnsi="宋体" w:eastAsia="宋体" w:cs="宋体"/>
          <w:sz w:val="24"/>
        </w:rPr>
      </w:pPr>
      <w:r>
        <w:rPr>
          <w:rFonts w:hint="eastAsia" w:ascii="宋体" w:hAnsi="宋体" w:eastAsia="宋体" w:cs="宋体"/>
          <w:sz w:val="24"/>
          <w:lang w:bidi="ar"/>
        </w:rPr>
        <w:t>指严重的自然灾害和灾难(如火灾、地震、台风、爆炸等)、战争(不论是否宣战)、叛乱、动乱等不可预见、不可避免并不能克服的客观情况和事件；本合同中所指不可抗力不包括暴雨、村民阻挠等；</w:t>
      </w:r>
    </w:p>
    <w:p>
      <w:pPr>
        <w:numPr>
          <w:ilvl w:val="1"/>
          <w:numId w:val="8"/>
        </w:numPr>
        <w:tabs>
          <w:tab w:val="left" w:pos="709"/>
        </w:tabs>
        <w:spacing w:line="360" w:lineRule="auto"/>
        <w:textAlignment w:val="baseline"/>
        <w:rPr>
          <w:rFonts w:ascii="宋体" w:hAnsi="宋体" w:eastAsia="宋体" w:cs="宋体"/>
          <w:sz w:val="24"/>
        </w:rPr>
      </w:pPr>
      <w:r>
        <w:rPr>
          <w:rFonts w:hint="eastAsia" w:ascii="宋体" w:hAnsi="宋体" w:eastAsia="宋体" w:cs="宋体"/>
          <w:sz w:val="24"/>
          <w:lang w:bidi="ar"/>
        </w:rPr>
        <w:t>若任何一方因不可抗力事件而不能履行本合同，则该方应尽快书面通知另一方。该通知中应说明不可抗力事件的发生日期和预计持续的时间、事件性质、对该方履行本合同的影响及该方为减少不可抗力事件影响所采取的措施；</w:t>
      </w:r>
    </w:p>
    <w:p>
      <w:pPr>
        <w:numPr>
          <w:ilvl w:val="1"/>
          <w:numId w:val="8"/>
        </w:numPr>
        <w:tabs>
          <w:tab w:val="left" w:pos="709"/>
        </w:tabs>
        <w:spacing w:line="360" w:lineRule="auto"/>
        <w:textAlignment w:val="baseline"/>
        <w:rPr>
          <w:rFonts w:ascii="宋体" w:hAnsi="宋体" w:eastAsia="宋体" w:cs="宋体"/>
          <w:sz w:val="24"/>
        </w:rPr>
      </w:pPr>
      <w:r>
        <w:rPr>
          <w:rFonts w:hint="eastAsia" w:ascii="宋体" w:hAnsi="宋体" w:eastAsia="宋体" w:cs="宋体"/>
          <w:sz w:val="24"/>
          <w:lang w:bidi="ar"/>
        </w:rPr>
        <w:t>一方因不可抗力而不能履行或不能完全履行合同的，不承担违约责任。但遭受不可抗力的一方应采取适当措施以减少不可抗力对本合同履行的影响。</w:t>
      </w:r>
    </w:p>
    <w:p>
      <w:pPr>
        <w:numPr>
          <w:ilvl w:val="0"/>
          <w:numId w:val="3"/>
        </w:numPr>
        <w:spacing w:before="50" w:line="360" w:lineRule="auto"/>
        <w:textAlignment w:val="baseline"/>
        <w:rPr>
          <w:rFonts w:ascii="宋体" w:hAnsi="宋体" w:eastAsia="宋体" w:cs="宋体"/>
          <w:b/>
          <w:sz w:val="24"/>
        </w:rPr>
      </w:pPr>
      <w:r>
        <w:rPr>
          <w:rFonts w:hint="eastAsia" w:ascii="宋体" w:hAnsi="宋体" w:eastAsia="宋体" w:cs="宋体"/>
          <w:b/>
          <w:sz w:val="24"/>
          <w:lang w:bidi="ar"/>
        </w:rPr>
        <w:t xml:space="preserve"> 合同争议的解决</w:t>
      </w:r>
    </w:p>
    <w:p>
      <w:pPr>
        <w:tabs>
          <w:tab w:val="left" w:pos="709"/>
        </w:tabs>
        <w:spacing w:line="360" w:lineRule="auto"/>
        <w:ind w:firstLine="480" w:firstLineChars="200"/>
        <w:textAlignment w:val="baseline"/>
        <w:rPr>
          <w:rFonts w:ascii="宋体" w:hAnsi="宋体" w:eastAsia="宋体" w:cs="宋体"/>
          <w:sz w:val="24"/>
        </w:rPr>
      </w:pPr>
      <w:r>
        <w:rPr>
          <w:rFonts w:hint="eastAsia" w:ascii="宋体" w:hAnsi="宋体" w:eastAsia="宋体" w:cs="宋体"/>
          <w:sz w:val="24"/>
          <w:lang w:bidi="ar"/>
        </w:rPr>
        <w:t>未尽事宜，双方协商解决，如经过协商后仍不能达成协议时，则任何一方有权向</w:t>
      </w:r>
      <w:r>
        <w:rPr>
          <w:rFonts w:hint="eastAsia" w:ascii="宋体" w:hAnsi="宋体" w:eastAsia="宋体" w:cs="宋体"/>
          <w:sz w:val="24"/>
          <w:lang w:eastAsia="zh-Hans" w:bidi="ar"/>
        </w:rPr>
        <w:t>合同签订</w:t>
      </w:r>
      <w:r>
        <w:rPr>
          <w:rFonts w:hint="eastAsia" w:ascii="宋体" w:hAnsi="宋体" w:eastAsia="宋体" w:cs="宋体"/>
          <w:sz w:val="24"/>
          <w:lang w:bidi="ar"/>
        </w:rPr>
        <w:t>地的人民法院提起诉讼。</w:t>
      </w:r>
    </w:p>
    <w:p>
      <w:pPr>
        <w:numPr>
          <w:ilvl w:val="0"/>
          <w:numId w:val="3"/>
        </w:numPr>
        <w:spacing w:before="50" w:line="360" w:lineRule="auto"/>
        <w:textAlignment w:val="baseline"/>
        <w:rPr>
          <w:rFonts w:ascii="宋体" w:hAnsi="宋体" w:eastAsia="宋体" w:cs="宋体"/>
          <w:b/>
          <w:bCs/>
          <w:sz w:val="24"/>
        </w:rPr>
      </w:pPr>
      <w:r>
        <w:rPr>
          <w:rFonts w:hint="eastAsia" w:ascii="宋体" w:hAnsi="宋体" w:eastAsia="宋体" w:cs="宋体"/>
          <w:b/>
          <w:bCs/>
          <w:sz w:val="24"/>
          <w:lang w:bidi="ar"/>
        </w:rPr>
        <w:t xml:space="preserve"> 其它</w:t>
      </w:r>
    </w:p>
    <w:p>
      <w:pPr>
        <w:numPr>
          <w:ilvl w:val="1"/>
          <w:numId w:val="9"/>
        </w:numPr>
        <w:spacing w:line="360" w:lineRule="auto"/>
        <w:textAlignment w:val="baseline"/>
        <w:rPr>
          <w:rFonts w:ascii="宋体" w:hAnsi="宋体" w:eastAsia="宋体" w:cs="宋体"/>
          <w:sz w:val="24"/>
        </w:rPr>
      </w:pPr>
      <w:r>
        <w:rPr>
          <w:rFonts w:hint="eastAsia" w:ascii="宋体" w:hAnsi="宋体" w:eastAsia="宋体" w:cs="宋体"/>
          <w:sz w:val="24"/>
          <w:lang w:bidi="ar"/>
        </w:rPr>
        <w:t>合同附件是本合同的组成部分，与本合同有同等法律效力。</w:t>
      </w:r>
    </w:p>
    <w:p>
      <w:pPr>
        <w:numPr>
          <w:ilvl w:val="1"/>
          <w:numId w:val="9"/>
        </w:numPr>
        <w:spacing w:line="360" w:lineRule="auto"/>
        <w:textAlignment w:val="baseline"/>
        <w:rPr>
          <w:rFonts w:ascii="宋体" w:hAnsi="宋体" w:eastAsia="宋体" w:cs="宋体"/>
          <w:sz w:val="24"/>
        </w:rPr>
      </w:pPr>
      <w:r>
        <w:rPr>
          <w:rFonts w:hint="eastAsia" w:ascii="宋体" w:hAnsi="宋体" w:eastAsia="宋体" w:cs="宋体"/>
          <w:sz w:val="24"/>
          <w:lang w:bidi="ar"/>
        </w:rPr>
        <w:t>本合同未尽事宜，需经双方协商，签订补充协议。补充协议与本合同具有同等的法律效力。</w:t>
      </w:r>
    </w:p>
    <w:p>
      <w:pPr>
        <w:numPr>
          <w:ilvl w:val="1"/>
          <w:numId w:val="9"/>
        </w:numPr>
        <w:spacing w:line="360" w:lineRule="auto"/>
        <w:textAlignment w:val="baseline"/>
        <w:rPr>
          <w:rFonts w:ascii="宋体" w:hAnsi="宋体" w:eastAsia="宋体" w:cs="宋体"/>
          <w:sz w:val="24"/>
        </w:rPr>
      </w:pPr>
      <w:r>
        <w:rPr>
          <w:rFonts w:hint="eastAsia" w:ascii="宋体" w:hAnsi="宋体" w:eastAsia="宋体" w:cs="宋体"/>
          <w:sz w:val="24"/>
          <w:lang w:bidi="ar"/>
        </w:rPr>
        <w:t>本合同一式</w:t>
      </w:r>
      <w:r>
        <w:rPr>
          <w:rFonts w:hint="eastAsia" w:ascii="宋体" w:hAnsi="宋体" w:eastAsia="宋体" w:cs="宋体"/>
          <w:sz w:val="24"/>
          <w:u w:val="single" w:color="000000"/>
          <w:lang w:bidi="ar"/>
        </w:rPr>
        <w:t xml:space="preserve"> 肆 </w:t>
      </w:r>
      <w:r>
        <w:rPr>
          <w:rFonts w:hint="eastAsia" w:ascii="宋体" w:hAnsi="宋体" w:eastAsia="宋体" w:cs="宋体"/>
          <w:sz w:val="24"/>
          <w:lang w:bidi="ar"/>
        </w:rPr>
        <w:t xml:space="preserve">份，买卖双方各执 </w:t>
      </w:r>
      <w:r>
        <w:rPr>
          <w:rFonts w:hint="eastAsia" w:ascii="宋体" w:hAnsi="宋体" w:eastAsia="宋体" w:cs="宋体"/>
          <w:sz w:val="24"/>
          <w:u w:val="single" w:color="000000"/>
          <w:lang w:bidi="ar"/>
        </w:rPr>
        <w:t xml:space="preserve">贰 </w:t>
      </w:r>
      <w:r>
        <w:rPr>
          <w:rFonts w:hint="eastAsia" w:ascii="宋体" w:hAnsi="宋体" w:eastAsia="宋体" w:cs="宋体"/>
          <w:sz w:val="24"/>
          <w:lang w:bidi="ar"/>
        </w:rPr>
        <w:t>份，每份均具同等法律效力（以下无正文）。</w:t>
      </w:r>
    </w:p>
    <w:p>
      <w:pPr>
        <w:numPr>
          <w:ilvl w:val="1"/>
          <w:numId w:val="9"/>
        </w:numPr>
        <w:spacing w:line="360" w:lineRule="auto"/>
        <w:textAlignment w:val="baseline"/>
        <w:rPr>
          <w:rFonts w:ascii="宋体" w:hAnsi="宋体" w:eastAsia="宋体" w:cs="宋体"/>
          <w:sz w:val="24"/>
        </w:rPr>
      </w:pPr>
      <w:r>
        <w:rPr>
          <w:rFonts w:hint="eastAsia" w:ascii="宋体" w:hAnsi="宋体" w:eastAsia="宋体" w:cs="宋体"/>
          <w:sz w:val="24"/>
          <w:lang w:bidi="ar"/>
        </w:rPr>
        <w:t>合同和发票邮寄应以顺丰或EMS方式；</w:t>
      </w:r>
    </w:p>
    <w:p>
      <w:pPr>
        <w:pStyle w:val="2"/>
        <w:widowControl/>
        <w:numPr>
          <w:ilvl w:val="1"/>
          <w:numId w:val="0"/>
        </w:numPr>
        <w:tabs>
          <w:tab w:val="left" w:pos="794"/>
          <w:tab w:val="left" w:pos="1418"/>
        </w:tabs>
        <w:ind w:left="624" w:hanging="624"/>
        <w:textAlignment w:val="baseline"/>
        <w:rPr>
          <w:rFonts w:ascii="宋体" w:hAnsi="宋体" w:cs="宋体"/>
          <w:sz w:val="24"/>
        </w:rPr>
      </w:pPr>
      <w:r>
        <w:rPr>
          <w:rFonts w:hint="eastAsia" w:ascii="宋体" w:hAnsi="宋体" w:cs="宋体"/>
          <w:sz w:val="24"/>
        </w:rPr>
        <w:t>接收单位：陆丰宝丽华新能源电力有限公司；</w:t>
      </w:r>
    </w:p>
    <w:p>
      <w:pPr>
        <w:pStyle w:val="2"/>
        <w:widowControl/>
        <w:numPr>
          <w:ilvl w:val="1"/>
          <w:numId w:val="0"/>
        </w:numPr>
        <w:tabs>
          <w:tab w:val="left" w:pos="794"/>
          <w:tab w:val="left" w:pos="1418"/>
        </w:tabs>
        <w:ind w:left="624" w:hanging="624"/>
        <w:textAlignment w:val="baseline"/>
        <w:rPr>
          <w:rFonts w:ascii="宋体" w:hAnsi="宋体" w:cs="宋体"/>
          <w:sz w:val="24"/>
        </w:rPr>
      </w:pPr>
      <w:r>
        <w:rPr>
          <w:rFonts w:hint="eastAsia" w:ascii="宋体" w:hAnsi="宋体" w:cs="宋体"/>
          <w:sz w:val="24"/>
        </w:rPr>
        <w:t>地址：广东省陆丰市湖东镇宝丽华甲湖湾能源基地业主大门</w:t>
      </w:r>
    </w:p>
    <w:p>
      <w:pPr>
        <w:pStyle w:val="2"/>
        <w:widowControl/>
        <w:numPr>
          <w:ilvl w:val="1"/>
          <w:numId w:val="0"/>
        </w:numPr>
        <w:tabs>
          <w:tab w:val="left" w:pos="794"/>
          <w:tab w:val="left" w:pos="1418"/>
        </w:tabs>
        <w:ind w:left="624" w:hanging="624"/>
        <w:textAlignment w:val="baseline"/>
        <w:rPr>
          <w:rFonts w:ascii="宋体" w:hAnsi="宋体" w:cs="宋体"/>
          <w:sz w:val="24"/>
        </w:rPr>
      </w:pPr>
      <w:r>
        <w:rPr>
          <w:rFonts w:hint="eastAsia" w:ascii="宋体" w:hAnsi="宋体" w:cs="宋体"/>
          <w:sz w:val="24"/>
        </w:rPr>
        <w:t>接收人：</w:t>
      </w:r>
    </w:p>
    <w:p>
      <w:pPr>
        <w:pStyle w:val="2"/>
        <w:widowControl/>
        <w:numPr>
          <w:ilvl w:val="1"/>
          <w:numId w:val="0"/>
        </w:numPr>
        <w:tabs>
          <w:tab w:val="left" w:pos="794"/>
          <w:tab w:val="left" w:pos="1418"/>
        </w:tabs>
        <w:ind w:left="624" w:hanging="624"/>
        <w:textAlignment w:val="baseline"/>
        <w:rPr>
          <w:rFonts w:ascii="宋体" w:hAnsi="宋体" w:cs="宋体"/>
          <w:color w:val="FF0000"/>
          <w:sz w:val="24"/>
        </w:rPr>
      </w:pPr>
      <w:r>
        <w:rPr>
          <w:rFonts w:hint="eastAsia" w:ascii="宋体" w:hAnsi="宋体" w:cs="宋体"/>
          <w:color w:val="FF0000"/>
          <w:sz w:val="24"/>
        </w:rPr>
        <w:t>发送单位：</w:t>
      </w:r>
    </w:p>
    <w:p>
      <w:pPr>
        <w:pStyle w:val="2"/>
        <w:widowControl/>
        <w:numPr>
          <w:ilvl w:val="1"/>
          <w:numId w:val="0"/>
        </w:numPr>
        <w:tabs>
          <w:tab w:val="left" w:pos="794"/>
          <w:tab w:val="left" w:pos="1418"/>
        </w:tabs>
        <w:ind w:left="624" w:hanging="624"/>
        <w:textAlignment w:val="baseline"/>
        <w:rPr>
          <w:rFonts w:ascii="宋体" w:hAnsi="宋体" w:cs="宋体"/>
          <w:color w:val="FF0000"/>
          <w:sz w:val="24"/>
        </w:rPr>
      </w:pPr>
      <w:r>
        <w:rPr>
          <w:rFonts w:hint="eastAsia" w:ascii="宋体" w:hAnsi="宋体" w:cs="宋体"/>
          <w:color w:val="FF0000"/>
          <w:sz w:val="24"/>
        </w:rPr>
        <w:t>地址：</w:t>
      </w:r>
    </w:p>
    <w:p>
      <w:pPr>
        <w:pStyle w:val="2"/>
        <w:widowControl/>
        <w:numPr>
          <w:ilvl w:val="1"/>
          <w:numId w:val="0"/>
        </w:numPr>
        <w:tabs>
          <w:tab w:val="left" w:pos="794"/>
          <w:tab w:val="left" w:pos="1418"/>
        </w:tabs>
        <w:ind w:left="624" w:hanging="624"/>
        <w:textAlignment w:val="baseline"/>
        <w:rPr>
          <w:rFonts w:ascii="宋体" w:hAnsi="宋体" w:cs="宋体"/>
          <w:color w:val="FF0000"/>
          <w:sz w:val="24"/>
        </w:rPr>
      </w:pPr>
      <w:r>
        <w:rPr>
          <w:rFonts w:hint="eastAsia" w:ascii="宋体" w:hAnsi="宋体" w:cs="宋体"/>
          <w:color w:val="FF0000"/>
          <w:sz w:val="24"/>
        </w:rPr>
        <w:t>接收人：</w:t>
      </w:r>
      <w:r>
        <w:rPr>
          <w:rFonts w:ascii="宋体" w:hAnsi="宋体" w:cs="宋体"/>
          <w:color w:val="FF0000"/>
          <w:sz w:val="24"/>
        </w:rPr>
        <w:t xml:space="preserve">   </w:t>
      </w:r>
      <w:r>
        <w:rPr>
          <w:rFonts w:hint="eastAsia" w:ascii="宋体" w:hAnsi="宋体" w:cs="宋体"/>
          <w:color w:val="FF0000"/>
          <w:sz w:val="24"/>
        </w:rPr>
        <w:t xml:space="preserve">               电话：</w:t>
      </w:r>
      <w:r>
        <w:rPr>
          <w:rFonts w:ascii="宋体" w:hAnsi="宋体" w:cs="宋体"/>
          <w:color w:val="FF0000"/>
          <w:sz w:val="24"/>
        </w:rPr>
        <w:t xml:space="preserve">    </w:t>
      </w:r>
      <w:r>
        <w:rPr>
          <w:rFonts w:hint="eastAsia" w:ascii="宋体" w:hAnsi="宋体" w:cs="宋体"/>
          <w:color w:val="FF0000"/>
          <w:sz w:val="24"/>
        </w:rPr>
        <w:t xml:space="preserve">        邮编：</w:t>
      </w:r>
    </w:p>
    <w:p>
      <w:pPr>
        <w:pStyle w:val="2"/>
        <w:widowControl/>
        <w:numPr>
          <w:ilvl w:val="1"/>
          <w:numId w:val="0"/>
        </w:numPr>
        <w:tabs>
          <w:tab w:val="left" w:pos="794"/>
          <w:tab w:val="left" w:pos="1418"/>
        </w:tabs>
        <w:ind w:left="624" w:hanging="624"/>
        <w:textAlignment w:val="baseline"/>
        <w:rPr>
          <w:rFonts w:ascii="宋体" w:hAnsi="宋体" w:cs="宋体"/>
          <w:sz w:val="24"/>
        </w:rPr>
      </w:pPr>
      <w:r>
        <w:rPr>
          <w:rFonts w:hint="eastAsia" w:ascii="宋体" w:hAnsi="宋体" w:cs="宋体"/>
          <w:sz w:val="24"/>
        </w:rPr>
        <w:t xml:space="preserve">    发票、财务收据、证明材料等交付买方以买方传真回执确认的实际到达时间为准，因中途邮寄遗失等原因造成直接或间接损失由卖方负责。</w:t>
      </w:r>
    </w:p>
    <w:p>
      <w:pPr>
        <w:spacing w:line="360" w:lineRule="auto"/>
        <w:textAlignment w:val="baseline"/>
        <w:rPr>
          <w:rFonts w:ascii="宋体" w:hAnsi="宋体" w:eastAsia="宋体" w:cs="宋体"/>
          <w:sz w:val="24"/>
        </w:rPr>
      </w:pPr>
      <w:r>
        <w:rPr>
          <w:rFonts w:hint="eastAsia" w:ascii="宋体" w:hAnsi="宋体" w:eastAsia="宋体" w:cs="宋体"/>
          <w:bCs/>
          <w:sz w:val="24"/>
          <w:lang w:bidi="ar"/>
        </w:rPr>
        <w:t>(以下无正文)</w:t>
      </w:r>
    </w:p>
    <w:p>
      <w:pPr>
        <w:pStyle w:val="13"/>
        <w:widowControl/>
        <w:numPr>
          <w:ilvl w:val="0"/>
          <w:numId w:val="0"/>
        </w:numPr>
        <w:ind w:left="420" w:hanging="420"/>
        <w:textAlignment w:val="baseline"/>
        <w:rPr>
          <w:rFonts w:ascii="宋体" w:hAnsi="宋体" w:cs="宋体"/>
          <w:b/>
          <w:sz w:val="28"/>
          <w:szCs w:val="28"/>
        </w:rPr>
      </w:pPr>
      <w:r>
        <w:rPr>
          <w:rFonts w:hint="eastAsia" w:ascii="宋体" w:hAnsi="宋体" w:cs="宋体"/>
          <w:b/>
          <w:sz w:val="28"/>
          <w:szCs w:val="28"/>
        </w:rPr>
        <w:t>附件1  供货范围</w:t>
      </w:r>
    </w:p>
    <w:p>
      <w:pPr>
        <w:pStyle w:val="4"/>
        <w:widowControl/>
        <w:spacing w:line="360" w:lineRule="auto"/>
        <w:ind w:firstLine="560"/>
        <w:textAlignment w:val="baseline"/>
        <w:rPr>
          <w:rFonts w:hint="default" w:hAnsi="宋体" w:cs="宋体"/>
          <w:kern w:val="0"/>
          <w:sz w:val="24"/>
          <w:szCs w:val="24"/>
        </w:rPr>
      </w:pPr>
      <w:r>
        <w:rPr>
          <w:rFonts w:hAnsi="宋体" w:cs="宋体"/>
          <w:kern w:val="0"/>
          <w:sz w:val="24"/>
          <w:szCs w:val="24"/>
        </w:rPr>
        <w:t>1、卖方保证提供设备为全新的、先进的、成熟的、完整的和安全可靠的，且设备的技术经济性能符合国标或电力企业有关质量标准的要求。</w:t>
      </w:r>
    </w:p>
    <w:p>
      <w:pPr>
        <w:pStyle w:val="4"/>
        <w:widowControl/>
        <w:spacing w:line="360" w:lineRule="auto"/>
        <w:ind w:firstLine="560"/>
        <w:textAlignment w:val="baseline"/>
        <w:rPr>
          <w:rFonts w:hint="default" w:hAnsi="宋体" w:cs="宋体"/>
          <w:kern w:val="0"/>
          <w:sz w:val="24"/>
          <w:szCs w:val="24"/>
        </w:rPr>
      </w:pPr>
      <w:r>
        <w:rPr>
          <w:rFonts w:hAnsi="宋体" w:cs="宋体"/>
          <w:kern w:val="0"/>
          <w:sz w:val="24"/>
          <w:szCs w:val="24"/>
        </w:rPr>
        <w:t>2、按买方所需的产品中的备品、备件要求，卖方应提供详细供货清单，清单中依次说明型号、数量、产地、生产厂家、质量等级等内容，卖方应随物品相关的检验报告或合格证、说明书。对于买方所列物品中，卖方有异议或不能确定时，应在征得买方确认后方可进行物品的供货。</w:t>
      </w:r>
    </w:p>
    <w:p>
      <w:pPr>
        <w:pStyle w:val="4"/>
        <w:widowControl/>
        <w:spacing w:line="360" w:lineRule="auto"/>
        <w:ind w:firstLine="560"/>
        <w:textAlignment w:val="baseline"/>
        <w:rPr>
          <w:rFonts w:hint="default" w:hAnsi="宋体" w:cs="宋体"/>
          <w:kern w:val="0"/>
          <w:sz w:val="24"/>
          <w:szCs w:val="24"/>
        </w:rPr>
      </w:pPr>
      <w:r>
        <w:rPr>
          <w:rFonts w:hAnsi="宋体" w:cs="宋体"/>
          <w:kern w:val="0"/>
          <w:sz w:val="24"/>
          <w:szCs w:val="24"/>
        </w:rPr>
        <w:t>3、随对</w:t>
      </w:r>
      <w:r>
        <w:rPr>
          <w:rFonts w:hint="eastAsia" w:hAnsi="宋体" w:cs="宋体"/>
          <w:color w:val="FF0000"/>
          <w:w w:val="90"/>
          <w:sz w:val="24"/>
          <w:lang w:val="en-US" w:eastAsia="zh-CN"/>
        </w:rPr>
        <w:t xml:space="preserve">           </w:t>
      </w:r>
      <w:r>
        <w:rPr>
          <w:rFonts w:hAnsi="宋体" w:cs="宋体"/>
          <w:kern w:val="0"/>
          <w:sz w:val="24"/>
          <w:szCs w:val="24"/>
        </w:rPr>
        <w:t>所属的附件，卖方应列出供货明细表，并随同发运。</w:t>
      </w:r>
    </w:p>
    <w:p>
      <w:pPr>
        <w:pStyle w:val="4"/>
        <w:widowControl/>
        <w:spacing w:line="360" w:lineRule="auto"/>
        <w:ind w:firstLine="560"/>
        <w:textAlignment w:val="baseline"/>
        <w:rPr>
          <w:rFonts w:hint="default" w:hAnsi="宋体" w:cs="宋体"/>
          <w:kern w:val="0"/>
          <w:sz w:val="24"/>
          <w:szCs w:val="24"/>
        </w:rPr>
      </w:pPr>
      <w:r>
        <w:rPr>
          <w:rFonts w:hAnsi="宋体" w:cs="宋体"/>
          <w:kern w:val="0"/>
          <w:sz w:val="24"/>
          <w:szCs w:val="24"/>
        </w:rPr>
        <w:t xml:space="preserve">附表：（供货清单）： </w:t>
      </w:r>
    </w:p>
    <w:tbl>
      <w:tblPr>
        <w:tblStyle w:val="8"/>
        <w:tblW w:w="10696" w:type="dxa"/>
        <w:jc w:val="center"/>
        <w:tblLayout w:type="fixed"/>
        <w:tblCellMar>
          <w:top w:w="0" w:type="dxa"/>
          <w:left w:w="0" w:type="dxa"/>
          <w:bottom w:w="0" w:type="dxa"/>
          <w:right w:w="0" w:type="dxa"/>
        </w:tblCellMar>
      </w:tblPr>
      <w:tblGrid>
        <w:gridCol w:w="721"/>
        <w:gridCol w:w="1344"/>
        <w:gridCol w:w="1733"/>
        <w:gridCol w:w="1093"/>
        <w:gridCol w:w="1188"/>
        <w:gridCol w:w="598"/>
        <w:gridCol w:w="577"/>
        <w:gridCol w:w="911"/>
        <w:gridCol w:w="991"/>
        <w:gridCol w:w="944"/>
        <w:gridCol w:w="596"/>
      </w:tblGrid>
      <w:tr>
        <w:tblPrEx>
          <w:tblCellMar>
            <w:top w:w="0" w:type="dxa"/>
            <w:left w:w="0" w:type="dxa"/>
            <w:bottom w:w="0" w:type="dxa"/>
            <w:right w:w="0" w:type="dxa"/>
          </w:tblCellMar>
        </w:tblPrEx>
        <w:trPr>
          <w:trHeight w:val="827"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序号</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申购单编号</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名称</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sz w:val="24"/>
              </w:rPr>
              <w:t>型号</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品牌</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4"/>
              </w:rPr>
            </w:pPr>
            <w:r>
              <w:rPr>
                <w:rFonts w:hint="eastAsia" w:ascii="宋体" w:hAnsi="宋体" w:eastAsia="宋体" w:cs="宋体"/>
                <w:sz w:val="24"/>
              </w:rPr>
              <w:t>单位</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FF0000"/>
                <w:sz w:val="24"/>
              </w:rPr>
            </w:pPr>
            <w:r>
              <w:rPr>
                <w:rFonts w:hint="eastAsia" w:ascii="宋体" w:hAnsi="宋体" w:eastAsia="宋体" w:cs="宋体"/>
                <w:color w:val="FF0000"/>
                <w:kern w:val="0"/>
                <w:sz w:val="24"/>
                <w:lang w:bidi="ar"/>
              </w:rPr>
              <w:t>数量</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FF0000"/>
                <w:sz w:val="24"/>
              </w:rPr>
            </w:pPr>
            <w:r>
              <w:rPr>
                <w:rFonts w:hint="eastAsia" w:ascii="宋体" w:hAnsi="宋体" w:eastAsia="宋体" w:cs="宋体"/>
                <w:color w:val="FF0000"/>
                <w:kern w:val="0"/>
                <w:sz w:val="24"/>
                <w:lang w:bidi="ar"/>
              </w:rPr>
              <w:t>单价</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FF0000"/>
                <w:sz w:val="24"/>
              </w:rPr>
            </w:pPr>
            <w:r>
              <w:rPr>
                <w:rFonts w:hint="eastAsia" w:ascii="宋体" w:hAnsi="宋体" w:eastAsia="宋体" w:cs="宋体"/>
                <w:color w:val="FF0000"/>
                <w:kern w:val="0"/>
                <w:sz w:val="24"/>
                <w:lang w:bidi="ar"/>
              </w:rPr>
              <w:t>总价</w:t>
            </w: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FF0000"/>
                <w:kern w:val="0"/>
                <w:sz w:val="24"/>
                <w:lang w:bidi="ar"/>
              </w:rPr>
            </w:pPr>
            <w:r>
              <w:rPr>
                <w:rFonts w:hint="eastAsia" w:ascii="宋体" w:hAnsi="宋体" w:eastAsia="宋体" w:cs="宋体"/>
                <w:color w:val="FF0000"/>
                <w:kern w:val="0"/>
                <w:sz w:val="24"/>
                <w:lang w:bidi="ar"/>
              </w:rPr>
              <w:t>优惠后价格</w:t>
            </w:r>
          </w:p>
        </w:tc>
        <w:tc>
          <w:tcPr>
            <w:tcW w:w="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FF0000"/>
                <w:kern w:val="0"/>
                <w:sz w:val="24"/>
                <w:lang w:bidi="ar"/>
              </w:rPr>
            </w:pPr>
            <w:r>
              <w:rPr>
                <w:rFonts w:hint="eastAsia" w:ascii="宋体" w:hAnsi="宋体" w:eastAsia="宋体" w:cs="宋体"/>
                <w:color w:val="FF0000"/>
                <w:kern w:val="0"/>
                <w:sz w:val="24"/>
                <w:lang w:bidi="ar"/>
              </w:rPr>
              <w:t>到货周期</w:t>
            </w:r>
          </w:p>
        </w:tc>
      </w:tr>
      <w:tr>
        <w:tblPrEx>
          <w:tblCellMar>
            <w:top w:w="0" w:type="dxa"/>
            <w:left w:w="0" w:type="dxa"/>
            <w:bottom w:w="0" w:type="dxa"/>
            <w:right w:w="0" w:type="dxa"/>
          </w:tblCellMar>
        </w:tblPrEx>
        <w:trPr>
          <w:trHeight w:val="119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18"/>
                <w:szCs w:val="18"/>
              </w:rPr>
            </w:pPr>
            <w:r>
              <w:rPr>
                <w:rFonts w:hint="eastAsia" w:ascii="宋体" w:hAnsi="宋体" w:eastAsia="宋体" w:cs="宋体"/>
                <w:kern w:val="0"/>
                <w:sz w:val="18"/>
                <w:szCs w:val="18"/>
                <w:lang w:bidi="ar"/>
              </w:rPr>
              <w:t>1</w:t>
            </w: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kern w:val="0"/>
                <w:sz w:val="18"/>
                <w:szCs w:val="18"/>
              </w:rPr>
            </w:pPr>
          </w:p>
        </w:tc>
        <w:tc>
          <w:tcPr>
            <w:tcW w:w="17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18"/>
                <w:szCs w:val="18"/>
              </w:rPr>
            </w:pPr>
          </w:p>
        </w:tc>
        <w:tc>
          <w:tcPr>
            <w:tcW w:w="1093"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18"/>
                <w:szCs w:val="18"/>
              </w:rPr>
            </w:pPr>
          </w:p>
        </w:tc>
        <w:tc>
          <w:tcPr>
            <w:tcW w:w="1188"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18"/>
                <w:szCs w:val="18"/>
              </w:rPr>
            </w:pPr>
          </w:p>
        </w:tc>
        <w:tc>
          <w:tcPr>
            <w:tcW w:w="598"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18"/>
                <w:szCs w:val="18"/>
              </w:rPr>
            </w:pPr>
          </w:p>
        </w:tc>
        <w:tc>
          <w:tcPr>
            <w:tcW w:w="577"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18"/>
                <w:szCs w:val="18"/>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FF0000"/>
                <w:kern w:val="0"/>
                <w:sz w:val="18"/>
                <w:szCs w:val="18"/>
              </w:rPr>
            </w:pPr>
          </w:p>
        </w:tc>
        <w:tc>
          <w:tcPr>
            <w:tcW w:w="9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eastAsia="宋体" w:cs="宋体"/>
                <w:color w:val="FF0000"/>
                <w:kern w:val="0"/>
                <w:sz w:val="18"/>
                <w:szCs w:val="18"/>
              </w:rPr>
            </w:pP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baseline"/>
              <w:rPr>
                <w:rFonts w:ascii="宋体" w:hAnsi="宋体" w:eastAsia="宋体" w:cs="宋体"/>
                <w:sz w:val="18"/>
                <w:szCs w:val="18"/>
              </w:rPr>
            </w:pPr>
          </w:p>
        </w:tc>
        <w:tc>
          <w:tcPr>
            <w:tcW w:w="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textAlignment w:val="baseline"/>
              <w:rPr>
                <w:rFonts w:ascii="宋体" w:hAnsi="宋体" w:eastAsia="宋体" w:cs="宋体"/>
                <w:sz w:val="18"/>
                <w:szCs w:val="18"/>
              </w:rPr>
            </w:pPr>
          </w:p>
        </w:tc>
      </w:tr>
      <w:tr>
        <w:tblPrEx>
          <w:tblCellMar>
            <w:top w:w="0" w:type="dxa"/>
            <w:left w:w="0" w:type="dxa"/>
            <w:bottom w:w="0" w:type="dxa"/>
            <w:right w:w="0" w:type="dxa"/>
          </w:tblCellMar>
        </w:tblPrEx>
        <w:trPr>
          <w:trHeight w:val="870" w:hRule="atLeast"/>
          <w:jc w:val="center"/>
        </w:trPr>
        <w:tc>
          <w:tcPr>
            <w:tcW w:w="7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合计：</w:t>
            </w:r>
          </w:p>
        </w:tc>
        <w:tc>
          <w:tcPr>
            <w:tcW w:w="9975" w:type="dxa"/>
            <w:gridSpan w:val="10"/>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jc w:val="center"/>
              <w:textAlignment w:val="baseline"/>
              <w:rPr>
                <w:rFonts w:hint="eastAsia" w:ascii="宋体" w:hAnsi="宋体" w:eastAsia="宋体" w:cs="宋体"/>
                <w:sz w:val="20"/>
                <w:szCs w:val="21"/>
              </w:rPr>
            </w:pPr>
          </w:p>
        </w:tc>
      </w:tr>
    </w:tbl>
    <w:p>
      <w:pPr>
        <w:textAlignment w:val="baseline"/>
        <w:rPr>
          <w:rFonts w:ascii="宋体" w:hAnsi="宋体" w:eastAsia="宋体" w:cs="宋体"/>
          <w:sz w:val="20"/>
        </w:rPr>
      </w:pPr>
    </w:p>
    <w:p>
      <w:pPr>
        <w:rPr>
          <w:rFonts w:hint="eastAsia" w:eastAsia="宋体" w:cs="宋体"/>
          <w:kern w:val="2"/>
          <w:szCs w:val="28"/>
          <w:lang w:eastAsia="zh-CN" w:bidi="ar"/>
        </w:rPr>
      </w:pPr>
    </w:p>
    <w:sectPr>
      <w:headerReference r:id="rId6" w:type="first"/>
      <w:footerReference r:id="rId8" w:type="first"/>
      <w:headerReference r:id="rId5" w:type="default"/>
      <w:footerReference r:id="rId7" w:type="default"/>
      <w:pgSz w:w="12240" w:h="15840"/>
      <w:pgMar w:top="1440" w:right="1800" w:bottom="1440" w:left="1800" w:header="720" w:footer="720"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left"/>
    </w:pPr>
    <w:r>
      <w:drawing>
        <wp:inline distT="0" distB="0" distL="114300" distR="114300">
          <wp:extent cx="3013075" cy="556895"/>
          <wp:effectExtent l="0" t="0" r="9525"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3013075" cy="55689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578D3"/>
    <w:multiLevelType w:val="multilevel"/>
    <w:tmpl w:val="8B9578D3"/>
    <w:lvl w:ilvl="0" w:tentative="0">
      <w:start w:val="1"/>
      <w:numFmt w:val="decimal"/>
      <w:lvlText w:val="%1)"/>
      <w:lvlJc w:val="left"/>
      <w:pPr>
        <w:tabs>
          <w:tab w:val="left" w:pos="0"/>
        </w:tabs>
        <w:ind w:left="930" w:hanging="420"/>
      </w:pPr>
    </w:lvl>
    <w:lvl w:ilvl="1" w:tentative="0">
      <w:start w:val="1"/>
      <w:numFmt w:val="decimal"/>
      <w:lvlText w:val="%2)"/>
      <w:lvlJc w:val="left"/>
      <w:pPr>
        <w:tabs>
          <w:tab w:val="left" w:pos="0"/>
        </w:tabs>
        <w:ind w:left="1350" w:hanging="420"/>
      </w:pPr>
    </w:lvl>
    <w:lvl w:ilvl="2" w:tentative="0">
      <w:start w:val="1"/>
      <w:numFmt w:val="lowerRoman"/>
      <w:lvlText w:val="%3."/>
      <w:lvlJc w:val="right"/>
      <w:pPr>
        <w:tabs>
          <w:tab w:val="left" w:pos="0"/>
        </w:tabs>
        <w:ind w:left="1770" w:hanging="420"/>
      </w:pPr>
    </w:lvl>
    <w:lvl w:ilvl="3" w:tentative="0">
      <w:start w:val="1"/>
      <w:numFmt w:val="decimal"/>
      <w:lvlText w:val="%4."/>
      <w:lvlJc w:val="left"/>
      <w:pPr>
        <w:tabs>
          <w:tab w:val="left" w:pos="0"/>
        </w:tabs>
        <w:ind w:left="2190" w:hanging="420"/>
      </w:pPr>
    </w:lvl>
    <w:lvl w:ilvl="4" w:tentative="0">
      <w:start w:val="1"/>
      <w:numFmt w:val="lowerLetter"/>
      <w:lvlText w:val="%5)"/>
      <w:lvlJc w:val="left"/>
      <w:pPr>
        <w:tabs>
          <w:tab w:val="left" w:pos="0"/>
        </w:tabs>
        <w:ind w:left="2610" w:hanging="420"/>
      </w:pPr>
    </w:lvl>
    <w:lvl w:ilvl="5" w:tentative="0">
      <w:start w:val="1"/>
      <w:numFmt w:val="lowerRoman"/>
      <w:lvlText w:val="%6."/>
      <w:lvlJc w:val="right"/>
      <w:pPr>
        <w:tabs>
          <w:tab w:val="left" w:pos="0"/>
        </w:tabs>
        <w:ind w:left="3030" w:hanging="420"/>
      </w:pPr>
    </w:lvl>
    <w:lvl w:ilvl="6" w:tentative="0">
      <w:start w:val="1"/>
      <w:numFmt w:val="decimal"/>
      <w:lvlText w:val="%7."/>
      <w:lvlJc w:val="left"/>
      <w:pPr>
        <w:tabs>
          <w:tab w:val="left" w:pos="0"/>
        </w:tabs>
        <w:ind w:left="3450" w:hanging="420"/>
      </w:pPr>
    </w:lvl>
    <w:lvl w:ilvl="7" w:tentative="0">
      <w:start w:val="1"/>
      <w:numFmt w:val="lowerLetter"/>
      <w:lvlText w:val="%8)"/>
      <w:lvlJc w:val="left"/>
      <w:pPr>
        <w:tabs>
          <w:tab w:val="left" w:pos="0"/>
        </w:tabs>
        <w:ind w:left="3870" w:hanging="420"/>
      </w:pPr>
    </w:lvl>
    <w:lvl w:ilvl="8" w:tentative="0">
      <w:start w:val="1"/>
      <w:numFmt w:val="lowerRoman"/>
      <w:lvlText w:val="%9."/>
      <w:lvlJc w:val="right"/>
      <w:pPr>
        <w:tabs>
          <w:tab w:val="left" w:pos="0"/>
        </w:tabs>
        <w:ind w:left="4290" w:hanging="420"/>
      </w:pPr>
    </w:lvl>
  </w:abstractNum>
  <w:abstractNum w:abstractNumId="1">
    <w:nsid w:val="B6821FDC"/>
    <w:multiLevelType w:val="multilevel"/>
    <w:tmpl w:val="B6821FDC"/>
    <w:lvl w:ilvl="0" w:tentative="0">
      <w:start w:val="1"/>
      <w:numFmt w:val="chineseCounting"/>
      <w:suff w:val="nothing"/>
      <w:lvlText w:val="第%1章 "/>
      <w:lvlJc w:val="left"/>
      <w:pPr>
        <w:tabs>
          <w:tab w:val="left" w:pos="0"/>
        </w:tabs>
        <w:ind w:left="425" w:hanging="425"/>
      </w:pPr>
    </w:lvl>
    <w:lvl w:ilvl="1" w:tentative="0">
      <w:start w:val="1"/>
      <w:numFmt w:val="decimal"/>
      <w:isLgl/>
      <w:lvlText w:val="6.%2."/>
      <w:lvlJc w:val="left"/>
      <w:pPr>
        <w:tabs>
          <w:tab w:val="left" w:pos="0"/>
        </w:tabs>
        <w:ind w:left="567" w:hanging="567"/>
      </w:pPr>
      <w:rPr>
        <w:rFonts w:hint="eastAsia" w:ascii="宋体" w:hAnsi="宋体" w:eastAsia="宋体" w:cs="宋体"/>
      </w:rPr>
    </w:lvl>
    <w:lvl w:ilvl="2" w:tentative="0">
      <w:start w:val="1"/>
      <w:numFmt w:val="decimal"/>
      <w:isLgl/>
      <w:lvlText w:val="%1.%2.%3."/>
      <w:lvlJc w:val="left"/>
      <w:pPr>
        <w:tabs>
          <w:tab w:val="left" w:pos="0"/>
        </w:tabs>
        <w:ind w:left="709" w:hanging="709"/>
      </w:pPr>
    </w:lvl>
    <w:lvl w:ilvl="3" w:tentative="0">
      <w:start w:val="1"/>
      <w:numFmt w:val="decimal"/>
      <w:isLgl/>
      <w:lvlText w:val="%1.%2.%3.%4."/>
      <w:lvlJc w:val="left"/>
      <w:pPr>
        <w:tabs>
          <w:tab w:val="left" w:pos="0"/>
        </w:tabs>
        <w:ind w:left="850" w:hanging="850"/>
      </w:pPr>
    </w:lvl>
    <w:lvl w:ilvl="4" w:tentative="0">
      <w:start w:val="1"/>
      <w:numFmt w:val="decimal"/>
      <w:isLgl/>
      <w:lvlText w:val="%1.%2.%3.%4.%5."/>
      <w:lvlJc w:val="left"/>
      <w:pPr>
        <w:tabs>
          <w:tab w:val="left" w:pos="0"/>
        </w:tabs>
        <w:ind w:left="991" w:hanging="991"/>
      </w:pPr>
    </w:lvl>
    <w:lvl w:ilvl="5" w:tentative="0">
      <w:start w:val="1"/>
      <w:numFmt w:val="decimal"/>
      <w:isLgl/>
      <w:lvlText w:val="%1.%2.%3.%4.%5.%6."/>
      <w:lvlJc w:val="left"/>
      <w:pPr>
        <w:tabs>
          <w:tab w:val="left" w:pos="0"/>
        </w:tabs>
        <w:ind w:left="1135" w:hanging="1135"/>
      </w:pPr>
    </w:lvl>
    <w:lvl w:ilvl="6" w:tentative="0">
      <w:start w:val="1"/>
      <w:numFmt w:val="decimal"/>
      <w:isLgl/>
      <w:lvlText w:val="%1.%2.%3.%4.%5.%6.%7."/>
      <w:lvlJc w:val="left"/>
      <w:pPr>
        <w:tabs>
          <w:tab w:val="left" w:pos="0"/>
        </w:tabs>
        <w:ind w:left="1275" w:hanging="1275"/>
      </w:pPr>
    </w:lvl>
    <w:lvl w:ilvl="7" w:tentative="0">
      <w:start w:val="1"/>
      <w:numFmt w:val="decimal"/>
      <w:isLgl/>
      <w:lvlText w:val="%1.%2.%3.%4.%5.%6.%7.%8."/>
      <w:lvlJc w:val="left"/>
      <w:pPr>
        <w:tabs>
          <w:tab w:val="left" w:pos="0"/>
        </w:tabs>
        <w:ind w:left="1418" w:hanging="1418"/>
      </w:pPr>
    </w:lvl>
    <w:lvl w:ilvl="8" w:tentative="0">
      <w:start w:val="1"/>
      <w:numFmt w:val="decimal"/>
      <w:isLgl/>
      <w:lvlText w:val="%1.%2.%3.%4.%5.%6.%7.%8.%9."/>
      <w:lvlJc w:val="left"/>
      <w:pPr>
        <w:tabs>
          <w:tab w:val="left" w:pos="0"/>
        </w:tabs>
        <w:ind w:left="1558" w:hanging="1558"/>
      </w:pPr>
    </w:lvl>
  </w:abstractNum>
  <w:abstractNum w:abstractNumId="2">
    <w:nsid w:val="B7142AC5"/>
    <w:multiLevelType w:val="multilevel"/>
    <w:tmpl w:val="B7142AC5"/>
    <w:lvl w:ilvl="0" w:tentative="0">
      <w:start w:val="1"/>
      <w:numFmt w:val="decimal"/>
      <w:lvlText w:val="%1"/>
      <w:lvlJc w:val="left"/>
      <w:pPr>
        <w:tabs>
          <w:tab w:val="left" w:pos="0"/>
        </w:tabs>
        <w:ind w:left="360" w:hanging="360"/>
      </w:pPr>
    </w:lvl>
    <w:lvl w:ilvl="1" w:tentative="0">
      <w:start w:val="2"/>
      <w:numFmt w:val="decimal"/>
      <w:lvlText w:val="%1.%2"/>
      <w:lvlJc w:val="left"/>
      <w:pPr>
        <w:tabs>
          <w:tab w:val="left" w:pos="0"/>
        </w:tabs>
        <w:ind w:left="360" w:hanging="360"/>
      </w:p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1080" w:hanging="1080"/>
      </w:pPr>
    </w:lvl>
    <w:lvl w:ilvl="4" w:tentative="0">
      <w:start w:val="1"/>
      <w:numFmt w:val="decimal"/>
      <w:lvlText w:val="%1.%2.%3.%4.%5"/>
      <w:lvlJc w:val="left"/>
      <w:pPr>
        <w:tabs>
          <w:tab w:val="left" w:pos="0"/>
        </w:tabs>
        <w:ind w:left="1080" w:hanging="1080"/>
      </w:pPr>
    </w:lvl>
    <w:lvl w:ilvl="5" w:tentative="0">
      <w:start w:val="1"/>
      <w:numFmt w:val="decimal"/>
      <w:lvlText w:val="%1.%2.%3.%4.%5.%6"/>
      <w:lvlJc w:val="left"/>
      <w:pPr>
        <w:tabs>
          <w:tab w:val="left" w:pos="0"/>
        </w:tabs>
        <w:ind w:left="1440" w:hanging="1440"/>
      </w:pPr>
    </w:lvl>
    <w:lvl w:ilvl="6" w:tentative="0">
      <w:start w:val="1"/>
      <w:numFmt w:val="decimal"/>
      <w:lvlText w:val="%1.%2.%3.%4.%5.%6.%7"/>
      <w:lvlJc w:val="left"/>
      <w:pPr>
        <w:tabs>
          <w:tab w:val="left" w:pos="0"/>
        </w:tabs>
        <w:ind w:left="1800" w:hanging="1800"/>
      </w:pPr>
    </w:lvl>
    <w:lvl w:ilvl="7" w:tentative="0">
      <w:start w:val="1"/>
      <w:numFmt w:val="decimal"/>
      <w:lvlText w:val="%1.%2.%3.%4.%5.%6.%7.%8"/>
      <w:lvlJc w:val="left"/>
      <w:pPr>
        <w:tabs>
          <w:tab w:val="left" w:pos="0"/>
        </w:tabs>
        <w:ind w:left="1800" w:hanging="1800"/>
      </w:pPr>
    </w:lvl>
    <w:lvl w:ilvl="8" w:tentative="0">
      <w:start w:val="1"/>
      <w:numFmt w:val="decimal"/>
      <w:lvlText w:val="%1.%2.%3.%4.%5.%6.%7.%8.%9"/>
      <w:lvlJc w:val="left"/>
      <w:pPr>
        <w:tabs>
          <w:tab w:val="left" w:pos="0"/>
        </w:tabs>
        <w:ind w:left="2160" w:hanging="2160"/>
      </w:pPr>
    </w:lvl>
  </w:abstractNum>
  <w:abstractNum w:abstractNumId="3">
    <w:nsid w:val="C36DB4FF"/>
    <w:multiLevelType w:val="multilevel"/>
    <w:tmpl w:val="C36DB4FF"/>
    <w:lvl w:ilvl="0" w:tentative="0">
      <w:start w:val="1"/>
      <w:numFmt w:val="chineseCounting"/>
      <w:suff w:val="nothing"/>
      <w:lvlText w:val="第%1章 "/>
      <w:lvlJc w:val="left"/>
      <w:pPr>
        <w:tabs>
          <w:tab w:val="left" w:pos="0"/>
        </w:tabs>
        <w:ind w:left="425" w:hanging="425"/>
      </w:pPr>
    </w:lvl>
    <w:lvl w:ilvl="1" w:tentative="0">
      <w:start w:val="1"/>
      <w:numFmt w:val="decimal"/>
      <w:isLgl/>
      <w:lvlText w:val="7.%2."/>
      <w:lvlJc w:val="left"/>
      <w:pPr>
        <w:tabs>
          <w:tab w:val="left" w:pos="0"/>
        </w:tabs>
        <w:ind w:left="567" w:hanging="567"/>
      </w:pPr>
      <w:rPr>
        <w:rFonts w:hint="eastAsia" w:ascii="宋体" w:hAnsi="宋体" w:eastAsia="宋体" w:cs="宋体"/>
      </w:rPr>
    </w:lvl>
    <w:lvl w:ilvl="2" w:tentative="0">
      <w:start w:val="1"/>
      <w:numFmt w:val="decimal"/>
      <w:isLgl/>
      <w:lvlText w:val="%1.%2.%3."/>
      <w:lvlJc w:val="left"/>
      <w:pPr>
        <w:tabs>
          <w:tab w:val="left" w:pos="0"/>
        </w:tabs>
        <w:ind w:left="709" w:hanging="709"/>
      </w:pPr>
    </w:lvl>
    <w:lvl w:ilvl="3" w:tentative="0">
      <w:start w:val="1"/>
      <w:numFmt w:val="decimal"/>
      <w:isLgl/>
      <w:lvlText w:val="%1.%2.%3.%4."/>
      <w:lvlJc w:val="left"/>
      <w:pPr>
        <w:tabs>
          <w:tab w:val="left" w:pos="0"/>
        </w:tabs>
        <w:ind w:left="850" w:hanging="850"/>
      </w:pPr>
    </w:lvl>
    <w:lvl w:ilvl="4" w:tentative="0">
      <w:start w:val="1"/>
      <w:numFmt w:val="decimal"/>
      <w:isLgl/>
      <w:lvlText w:val="%1.%2.%3.%4.%5."/>
      <w:lvlJc w:val="left"/>
      <w:pPr>
        <w:tabs>
          <w:tab w:val="left" w:pos="0"/>
        </w:tabs>
        <w:ind w:left="991" w:hanging="991"/>
      </w:pPr>
    </w:lvl>
    <w:lvl w:ilvl="5" w:tentative="0">
      <w:start w:val="1"/>
      <w:numFmt w:val="decimal"/>
      <w:isLgl/>
      <w:lvlText w:val="%1.%2.%3.%4.%5.%6."/>
      <w:lvlJc w:val="left"/>
      <w:pPr>
        <w:tabs>
          <w:tab w:val="left" w:pos="0"/>
        </w:tabs>
        <w:ind w:left="1135" w:hanging="1135"/>
      </w:pPr>
    </w:lvl>
    <w:lvl w:ilvl="6" w:tentative="0">
      <w:start w:val="1"/>
      <w:numFmt w:val="decimal"/>
      <w:isLgl/>
      <w:lvlText w:val="%1.%2.%3.%4.%5.%6.%7."/>
      <w:lvlJc w:val="left"/>
      <w:pPr>
        <w:tabs>
          <w:tab w:val="left" w:pos="0"/>
        </w:tabs>
        <w:ind w:left="1275" w:hanging="1275"/>
      </w:pPr>
    </w:lvl>
    <w:lvl w:ilvl="7" w:tentative="0">
      <w:start w:val="1"/>
      <w:numFmt w:val="decimal"/>
      <w:isLgl/>
      <w:lvlText w:val="%1.%2.%3.%4.%5.%6.%7.%8."/>
      <w:lvlJc w:val="left"/>
      <w:pPr>
        <w:tabs>
          <w:tab w:val="left" w:pos="0"/>
        </w:tabs>
        <w:ind w:left="1418" w:hanging="1418"/>
      </w:pPr>
    </w:lvl>
    <w:lvl w:ilvl="8" w:tentative="0">
      <w:start w:val="1"/>
      <w:numFmt w:val="decimal"/>
      <w:isLgl/>
      <w:lvlText w:val="%1.%2.%3.%4.%5.%6.%7.%8.%9."/>
      <w:lvlJc w:val="left"/>
      <w:pPr>
        <w:tabs>
          <w:tab w:val="left" w:pos="0"/>
        </w:tabs>
        <w:ind w:left="1558" w:hanging="1558"/>
      </w:pPr>
    </w:lvl>
  </w:abstractNum>
  <w:abstractNum w:abstractNumId="4">
    <w:nsid w:val="CD9A75C5"/>
    <w:multiLevelType w:val="multilevel"/>
    <w:tmpl w:val="CD9A75C5"/>
    <w:lvl w:ilvl="0" w:tentative="0">
      <w:start w:val="1"/>
      <w:numFmt w:val="chineseCounting"/>
      <w:suff w:val="nothing"/>
      <w:lvlText w:val="第%1章 "/>
      <w:lvlJc w:val="left"/>
      <w:pPr>
        <w:tabs>
          <w:tab w:val="left" w:pos="0"/>
        </w:tabs>
        <w:ind w:left="425" w:hanging="425"/>
      </w:pPr>
    </w:lvl>
    <w:lvl w:ilvl="1" w:tentative="0">
      <w:start w:val="1"/>
      <w:numFmt w:val="decimal"/>
      <w:isLgl/>
      <w:lvlText w:val="9.%2."/>
      <w:lvlJc w:val="left"/>
      <w:pPr>
        <w:tabs>
          <w:tab w:val="left" w:pos="0"/>
        </w:tabs>
        <w:ind w:left="567" w:hanging="567"/>
      </w:pPr>
      <w:rPr>
        <w:rFonts w:hint="eastAsia" w:ascii="宋体" w:hAnsi="宋体" w:eastAsia="宋体" w:cs="宋体"/>
      </w:rPr>
    </w:lvl>
    <w:lvl w:ilvl="2" w:tentative="0">
      <w:start w:val="1"/>
      <w:numFmt w:val="decimal"/>
      <w:isLgl/>
      <w:lvlText w:val="%1.%2.%3."/>
      <w:lvlJc w:val="left"/>
      <w:pPr>
        <w:tabs>
          <w:tab w:val="left" w:pos="0"/>
        </w:tabs>
        <w:ind w:left="709" w:hanging="709"/>
      </w:pPr>
    </w:lvl>
    <w:lvl w:ilvl="3" w:tentative="0">
      <w:start w:val="1"/>
      <w:numFmt w:val="decimal"/>
      <w:isLgl/>
      <w:lvlText w:val="%1.%2.%3.%4."/>
      <w:lvlJc w:val="left"/>
      <w:pPr>
        <w:tabs>
          <w:tab w:val="left" w:pos="0"/>
        </w:tabs>
        <w:ind w:left="850" w:hanging="850"/>
      </w:pPr>
    </w:lvl>
    <w:lvl w:ilvl="4" w:tentative="0">
      <w:start w:val="1"/>
      <w:numFmt w:val="decimal"/>
      <w:isLgl/>
      <w:lvlText w:val="%1.%2.%3.%4.%5."/>
      <w:lvlJc w:val="left"/>
      <w:pPr>
        <w:tabs>
          <w:tab w:val="left" w:pos="0"/>
        </w:tabs>
        <w:ind w:left="991" w:hanging="991"/>
      </w:pPr>
    </w:lvl>
    <w:lvl w:ilvl="5" w:tentative="0">
      <w:start w:val="1"/>
      <w:numFmt w:val="decimal"/>
      <w:isLgl/>
      <w:lvlText w:val="%1.%2.%3.%4.%5.%6."/>
      <w:lvlJc w:val="left"/>
      <w:pPr>
        <w:tabs>
          <w:tab w:val="left" w:pos="0"/>
        </w:tabs>
        <w:ind w:left="1135" w:hanging="1135"/>
      </w:pPr>
    </w:lvl>
    <w:lvl w:ilvl="6" w:tentative="0">
      <w:start w:val="1"/>
      <w:numFmt w:val="decimal"/>
      <w:isLgl/>
      <w:lvlText w:val="%1.%2.%3.%4.%5.%6.%7."/>
      <w:lvlJc w:val="left"/>
      <w:pPr>
        <w:tabs>
          <w:tab w:val="left" w:pos="0"/>
        </w:tabs>
        <w:ind w:left="1275" w:hanging="1275"/>
      </w:pPr>
    </w:lvl>
    <w:lvl w:ilvl="7" w:tentative="0">
      <w:start w:val="1"/>
      <w:numFmt w:val="decimal"/>
      <w:isLgl/>
      <w:lvlText w:val="%1.%2.%3.%4.%5.%6.%7.%8."/>
      <w:lvlJc w:val="left"/>
      <w:pPr>
        <w:tabs>
          <w:tab w:val="left" w:pos="0"/>
        </w:tabs>
        <w:ind w:left="1418" w:hanging="1418"/>
      </w:pPr>
    </w:lvl>
    <w:lvl w:ilvl="8" w:tentative="0">
      <w:start w:val="1"/>
      <w:numFmt w:val="decimal"/>
      <w:isLgl/>
      <w:lvlText w:val="%1.%2.%3.%4.%5.%6.%7.%8.%9."/>
      <w:lvlJc w:val="left"/>
      <w:pPr>
        <w:tabs>
          <w:tab w:val="left" w:pos="0"/>
        </w:tabs>
        <w:ind w:left="1558" w:hanging="1558"/>
      </w:pPr>
    </w:lvl>
  </w:abstractNum>
  <w:abstractNum w:abstractNumId="5">
    <w:nsid w:val="D075B5F4"/>
    <w:multiLevelType w:val="multilevel"/>
    <w:tmpl w:val="D075B5F4"/>
    <w:lvl w:ilvl="0" w:tentative="0">
      <w:start w:val="1"/>
      <w:numFmt w:val="decimal"/>
      <w:lvlText w:val="%1."/>
      <w:lvlJc w:val="left"/>
      <w:pPr>
        <w:tabs>
          <w:tab w:val="left" w:pos="0"/>
        </w:tabs>
        <w:ind w:left="425" w:hanging="425"/>
      </w:pPr>
    </w:lvl>
    <w:lvl w:ilvl="1" w:tentative="0">
      <w:start w:val="1"/>
      <w:numFmt w:val="decimal"/>
      <w:lvlText w:val="%1.%2."/>
      <w:lvlJc w:val="left"/>
      <w:pPr>
        <w:tabs>
          <w:tab w:val="left" w:pos="0"/>
        </w:tabs>
        <w:ind w:left="567" w:hanging="567"/>
      </w:pPr>
    </w:lvl>
    <w:lvl w:ilvl="2" w:tentative="0">
      <w:start w:val="1"/>
      <w:numFmt w:val="decimal"/>
      <w:lvlText w:val="%1.%2.%3."/>
      <w:lvlJc w:val="left"/>
      <w:pPr>
        <w:tabs>
          <w:tab w:val="left" w:pos="0"/>
        </w:tabs>
        <w:ind w:left="709" w:hanging="709"/>
      </w:pPr>
    </w:lvl>
    <w:lvl w:ilvl="3" w:tentative="0">
      <w:start w:val="1"/>
      <w:numFmt w:val="decimal"/>
      <w:lvlText w:val="%1.%2.%3.%4."/>
      <w:lvlJc w:val="left"/>
      <w:pPr>
        <w:tabs>
          <w:tab w:val="left" w:pos="0"/>
        </w:tabs>
        <w:ind w:left="850" w:hanging="850"/>
      </w:pPr>
    </w:lvl>
    <w:lvl w:ilvl="4" w:tentative="0">
      <w:start w:val="1"/>
      <w:numFmt w:val="decimal"/>
      <w:lvlText w:val="%1.%2.%3.%4.%5."/>
      <w:lvlJc w:val="left"/>
      <w:pPr>
        <w:tabs>
          <w:tab w:val="left" w:pos="0"/>
        </w:tabs>
        <w:ind w:left="991" w:hanging="991"/>
      </w:pPr>
    </w:lvl>
    <w:lvl w:ilvl="5" w:tentative="0">
      <w:start w:val="1"/>
      <w:numFmt w:val="decimal"/>
      <w:lvlText w:val="%1.%2.%3.%4.%5.%6."/>
      <w:lvlJc w:val="left"/>
      <w:pPr>
        <w:tabs>
          <w:tab w:val="left" w:pos="0"/>
        </w:tabs>
        <w:ind w:left="1135" w:hanging="1135"/>
      </w:pPr>
    </w:lvl>
    <w:lvl w:ilvl="6" w:tentative="0">
      <w:start w:val="1"/>
      <w:numFmt w:val="decimal"/>
      <w:lvlText w:val="%1.%2.%3.%4.%5.%6.%7."/>
      <w:lvlJc w:val="left"/>
      <w:pPr>
        <w:tabs>
          <w:tab w:val="left" w:pos="0"/>
        </w:tabs>
        <w:ind w:left="1275" w:hanging="1275"/>
      </w:pPr>
    </w:lvl>
    <w:lvl w:ilvl="7" w:tentative="0">
      <w:start w:val="1"/>
      <w:numFmt w:val="decimal"/>
      <w:lvlText w:val="%1.%2.%3.%4.%5.%6.%7.%8."/>
      <w:lvlJc w:val="left"/>
      <w:pPr>
        <w:tabs>
          <w:tab w:val="left" w:pos="0"/>
        </w:tabs>
        <w:ind w:left="1418" w:hanging="1418"/>
      </w:pPr>
    </w:lvl>
    <w:lvl w:ilvl="8" w:tentative="0">
      <w:start w:val="1"/>
      <w:numFmt w:val="decimal"/>
      <w:lvlText w:val="%1.%2.%3.%4.%5.%6.%7.%8.%9."/>
      <w:lvlJc w:val="left"/>
      <w:pPr>
        <w:tabs>
          <w:tab w:val="left" w:pos="0"/>
        </w:tabs>
        <w:ind w:left="1558" w:hanging="1558"/>
      </w:pPr>
    </w:lvl>
  </w:abstractNum>
  <w:abstractNum w:abstractNumId="6">
    <w:nsid w:val="E708C7E7"/>
    <w:multiLevelType w:val="multilevel"/>
    <w:tmpl w:val="E708C7E7"/>
    <w:lvl w:ilvl="0" w:tentative="0">
      <w:start w:val="1"/>
      <w:numFmt w:val="decimal"/>
      <w:pStyle w:val="13"/>
      <w:lvlText w:val="附件 %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DC7C5CD"/>
    <w:multiLevelType w:val="multilevel"/>
    <w:tmpl w:val="5DC7C5CD"/>
    <w:lvl w:ilvl="0" w:tentative="0">
      <w:start w:val="1"/>
      <w:numFmt w:val="decimal"/>
      <w:lvlText w:val="第%1条"/>
      <w:lvlJc w:val="left"/>
      <w:pPr>
        <w:tabs>
          <w:tab w:val="left" w:pos="1418"/>
        </w:tabs>
        <w:ind w:left="1418" w:hanging="908"/>
      </w:pPr>
      <w:rPr>
        <w:rFonts w:hint="default" w:ascii="Times New Roman" w:hAnsi="Times New Roman" w:eastAsia="宋体" w:cs="Times New Roman"/>
        <w:sz w:val="24"/>
        <w:szCs w:val="24"/>
      </w:rPr>
    </w:lvl>
    <w:lvl w:ilvl="1" w:tentative="0">
      <w:start w:val="1"/>
      <w:numFmt w:val="decimal"/>
      <w:pStyle w:val="2"/>
      <w:lvlText w:val="%1.%2"/>
      <w:lvlJc w:val="left"/>
      <w:pPr>
        <w:tabs>
          <w:tab w:val="left" w:pos="1344"/>
        </w:tabs>
        <w:ind w:left="1344" w:hanging="624"/>
      </w:pPr>
      <w:rPr>
        <w:rFonts w:hint="default" w:ascii="Times New Roman" w:hAnsi="Times New Roman" w:cs="Times New Roman"/>
        <w:i w:val="0"/>
        <w:color w:val="auto"/>
        <w:sz w:val="24"/>
        <w:szCs w:val="24"/>
      </w:rPr>
    </w:lvl>
    <w:lvl w:ilvl="2" w:tentative="0">
      <w:start w:val="1"/>
      <w:numFmt w:val="decimal"/>
      <w:lvlText w:val="%1.%2.%3"/>
      <w:lvlJc w:val="left"/>
      <w:pPr>
        <w:tabs>
          <w:tab w:val="left" w:pos="1418"/>
        </w:tabs>
        <w:ind w:left="1418" w:hanging="908"/>
        <w:textAlignment w:val="baseline"/>
      </w:pPr>
      <w:rPr>
        <w:rFonts w:ascii="Times New Roman" w:hAnsi="Times New Roman" w:cs="Times New Roman"/>
        <w:b w:val="0"/>
        <w:i w:val="0"/>
        <w:iCs w:val="0"/>
        <w:caps w:val="0"/>
        <w:strike w:val="0"/>
        <w:dstrike w:val="0"/>
        <w:vanish w:val="0"/>
        <w:color w:val="000000"/>
        <w:spacing w:val="0"/>
        <w:position w:val="0"/>
        <w:u w:val="none"/>
      </w:rPr>
    </w:lvl>
    <w:lvl w:ilvl="3" w:tentative="0">
      <w:start w:val="1"/>
      <w:numFmt w:val="decimal"/>
      <w:lvlText w:val="%1.%2.%3.%4"/>
      <w:lvlJc w:val="left"/>
      <w:pPr>
        <w:tabs>
          <w:tab w:val="left" w:pos="1372"/>
        </w:tabs>
        <w:ind w:left="1374" w:hanging="864"/>
      </w:pPr>
    </w:lvl>
    <w:lvl w:ilvl="4" w:tentative="0">
      <w:start w:val="1"/>
      <w:numFmt w:val="decimal"/>
      <w:lvlText w:val="%1.%2.%3.%4.%5"/>
      <w:lvlJc w:val="left"/>
      <w:pPr>
        <w:tabs>
          <w:tab w:val="left" w:pos="1518"/>
        </w:tabs>
        <w:ind w:left="1518" w:hanging="1008"/>
      </w:pPr>
    </w:lvl>
    <w:lvl w:ilvl="5" w:tentative="0">
      <w:start w:val="1"/>
      <w:numFmt w:val="decimal"/>
      <w:lvlText w:val="%1.%2.%3.%4.%5.%6"/>
      <w:lvlJc w:val="left"/>
      <w:pPr>
        <w:tabs>
          <w:tab w:val="left" w:pos="1662"/>
        </w:tabs>
        <w:ind w:left="1662" w:hanging="1152"/>
      </w:pPr>
    </w:lvl>
    <w:lvl w:ilvl="6" w:tentative="0">
      <w:start w:val="1"/>
      <w:numFmt w:val="decimal"/>
      <w:lvlText w:val="%1.%2.%3.%4.%5.%6.%7"/>
      <w:lvlJc w:val="left"/>
      <w:pPr>
        <w:tabs>
          <w:tab w:val="left" w:pos="1806"/>
        </w:tabs>
        <w:ind w:left="1806" w:hanging="1296"/>
      </w:pPr>
    </w:lvl>
    <w:lvl w:ilvl="7" w:tentative="0">
      <w:start w:val="1"/>
      <w:numFmt w:val="decimal"/>
      <w:lvlText w:val="%1.%2.%3.%4.%5.%6.%7.%8"/>
      <w:lvlJc w:val="left"/>
      <w:pPr>
        <w:tabs>
          <w:tab w:val="left" w:pos="1950"/>
        </w:tabs>
        <w:ind w:left="1950" w:hanging="1440"/>
      </w:pPr>
    </w:lvl>
    <w:lvl w:ilvl="8" w:tentative="0">
      <w:start w:val="1"/>
      <w:numFmt w:val="decimal"/>
      <w:lvlText w:val="%1.%2.%3.%4.%5.%6.%7.%8.%9"/>
      <w:lvlJc w:val="left"/>
      <w:pPr>
        <w:tabs>
          <w:tab w:val="left" w:pos="2094"/>
        </w:tabs>
        <w:ind w:left="2094" w:hanging="1584"/>
      </w:pPr>
    </w:lvl>
  </w:abstractNum>
  <w:abstractNum w:abstractNumId="8">
    <w:nsid w:val="77A72F3D"/>
    <w:multiLevelType w:val="multilevel"/>
    <w:tmpl w:val="77A72F3D"/>
    <w:lvl w:ilvl="0" w:tentative="0">
      <w:start w:val="1"/>
      <w:numFmt w:val="chineseCounting"/>
      <w:suff w:val="nothing"/>
      <w:lvlText w:val="第%1章 "/>
      <w:lvlJc w:val="left"/>
      <w:pPr>
        <w:tabs>
          <w:tab w:val="left" w:pos="0"/>
        </w:tabs>
        <w:ind w:left="425" w:hanging="425"/>
      </w:pPr>
    </w:lvl>
    <w:lvl w:ilvl="1" w:tentative="0">
      <w:start w:val="1"/>
      <w:numFmt w:val="decimal"/>
      <w:isLgl/>
      <w:lvlText w:val="2.%2."/>
      <w:lvlJc w:val="left"/>
      <w:pPr>
        <w:tabs>
          <w:tab w:val="left" w:pos="420"/>
        </w:tabs>
        <w:ind w:left="567" w:hanging="567"/>
      </w:pPr>
      <w:rPr>
        <w:rFonts w:hint="eastAsia" w:ascii="宋体" w:hAnsi="宋体" w:eastAsia="宋体" w:cs="宋体"/>
      </w:rPr>
    </w:lvl>
    <w:lvl w:ilvl="2" w:tentative="0">
      <w:start w:val="1"/>
      <w:numFmt w:val="decimal"/>
      <w:isLgl/>
      <w:lvlText w:val="%1.%2.%3."/>
      <w:lvlJc w:val="left"/>
      <w:pPr>
        <w:tabs>
          <w:tab w:val="left" w:pos="0"/>
        </w:tabs>
        <w:ind w:left="709" w:hanging="709"/>
      </w:pPr>
    </w:lvl>
    <w:lvl w:ilvl="3" w:tentative="0">
      <w:start w:val="1"/>
      <w:numFmt w:val="decimal"/>
      <w:isLgl/>
      <w:lvlText w:val="%1.%2.%3.%4."/>
      <w:lvlJc w:val="left"/>
      <w:pPr>
        <w:tabs>
          <w:tab w:val="left" w:pos="0"/>
        </w:tabs>
        <w:ind w:left="850" w:hanging="850"/>
      </w:pPr>
    </w:lvl>
    <w:lvl w:ilvl="4" w:tentative="0">
      <w:start w:val="1"/>
      <w:numFmt w:val="decimal"/>
      <w:isLgl/>
      <w:lvlText w:val="%1.%2.%3.%4.%5."/>
      <w:lvlJc w:val="left"/>
      <w:pPr>
        <w:tabs>
          <w:tab w:val="left" w:pos="0"/>
        </w:tabs>
        <w:ind w:left="991" w:hanging="991"/>
      </w:pPr>
    </w:lvl>
    <w:lvl w:ilvl="5" w:tentative="0">
      <w:start w:val="1"/>
      <w:numFmt w:val="decimal"/>
      <w:isLgl/>
      <w:lvlText w:val="%1.%2.%3.%4.%5.%6."/>
      <w:lvlJc w:val="left"/>
      <w:pPr>
        <w:tabs>
          <w:tab w:val="left" w:pos="0"/>
        </w:tabs>
        <w:ind w:left="1135" w:hanging="1135"/>
      </w:pPr>
    </w:lvl>
    <w:lvl w:ilvl="6" w:tentative="0">
      <w:start w:val="1"/>
      <w:numFmt w:val="decimal"/>
      <w:isLgl/>
      <w:lvlText w:val="%1.%2.%3.%4.%5.%6.%7."/>
      <w:lvlJc w:val="left"/>
      <w:pPr>
        <w:tabs>
          <w:tab w:val="left" w:pos="0"/>
        </w:tabs>
        <w:ind w:left="1275" w:hanging="1275"/>
      </w:pPr>
    </w:lvl>
    <w:lvl w:ilvl="7" w:tentative="0">
      <w:start w:val="1"/>
      <w:numFmt w:val="decimal"/>
      <w:isLgl/>
      <w:lvlText w:val="%1.%2.%3.%4.%5.%6.%7.%8."/>
      <w:lvlJc w:val="left"/>
      <w:pPr>
        <w:tabs>
          <w:tab w:val="left" w:pos="0"/>
        </w:tabs>
        <w:ind w:left="1418" w:hanging="1418"/>
      </w:pPr>
    </w:lvl>
    <w:lvl w:ilvl="8" w:tentative="0">
      <w:start w:val="1"/>
      <w:numFmt w:val="decimal"/>
      <w:isLgl/>
      <w:lvlText w:val="%1.%2.%3.%4.%5.%6.%7.%8.%9."/>
      <w:lvlJc w:val="left"/>
      <w:pPr>
        <w:tabs>
          <w:tab w:val="left" w:pos="0"/>
        </w:tabs>
        <w:ind w:left="1558" w:hanging="1558"/>
      </w:pPr>
    </w:lvl>
  </w:abstractNum>
  <w:num w:numId="1">
    <w:abstractNumId w:val="7"/>
  </w:num>
  <w:num w:numId="2">
    <w:abstractNumId w:val="6"/>
  </w:num>
  <w:num w:numId="3">
    <w:abstractNumId w:val="5"/>
  </w:num>
  <w:num w:numId="4">
    <w:abstractNumId w:val="0"/>
  </w:num>
  <w:num w:numId="5">
    <w:abstractNumId w:val="2"/>
  </w:num>
  <w:num w:numId="6">
    <w:abstractNumId w:val="8"/>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5B32B4"/>
    <w:rsid w:val="000207D2"/>
    <w:rsid w:val="00283132"/>
    <w:rsid w:val="003900CA"/>
    <w:rsid w:val="004235CD"/>
    <w:rsid w:val="00542DF7"/>
    <w:rsid w:val="005B32B4"/>
    <w:rsid w:val="006A33ED"/>
    <w:rsid w:val="00731A4F"/>
    <w:rsid w:val="00B7175A"/>
    <w:rsid w:val="00F305E7"/>
    <w:rsid w:val="00FB37FE"/>
    <w:rsid w:val="01B07B3D"/>
    <w:rsid w:val="03073151"/>
    <w:rsid w:val="082223BA"/>
    <w:rsid w:val="08745DC7"/>
    <w:rsid w:val="08FD6983"/>
    <w:rsid w:val="096066F7"/>
    <w:rsid w:val="09AC5867"/>
    <w:rsid w:val="0B0264D2"/>
    <w:rsid w:val="0C1F4E62"/>
    <w:rsid w:val="0D3F63E7"/>
    <w:rsid w:val="112512A2"/>
    <w:rsid w:val="118064A7"/>
    <w:rsid w:val="12FA73D6"/>
    <w:rsid w:val="14BD602B"/>
    <w:rsid w:val="1A8B0292"/>
    <w:rsid w:val="1D811C43"/>
    <w:rsid w:val="1EA00C47"/>
    <w:rsid w:val="27D72414"/>
    <w:rsid w:val="2AE35478"/>
    <w:rsid w:val="2B0C6ECF"/>
    <w:rsid w:val="2B5D76E3"/>
    <w:rsid w:val="2CF34BF4"/>
    <w:rsid w:val="2D1377B4"/>
    <w:rsid w:val="2DDB158D"/>
    <w:rsid w:val="30DA7426"/>
    <w:rsid w:val="32667E10"/>
    <w:rsid w:val="33D3159C"/>
    <w:rsid w:val="36E5289E"/>
    <w:rsid w:val="37C6E2C2"/>
    <w:rsid w:val="388163D9"/>
    <w:rsid w:val="3A533F40"/>
    <w:rsid w:val="3BFFAB8F"/>
    <w:rsid w:val="3EA82911"/>
    <w:rsid w:val="3F5F090D"/>
    <w:rsid w:val="3FB157F6"/>
    <w:rsid w:val="41CE0135"/>
    <w:rsid w:val="425F49A7"/>
    <w:rsid w:val="42BE31C3"/>
    <w:rsid w:val="458F65D9"/>
    <w:rsid w:val="46E00628"/>
    <w:rsid w:val="492C301E"/>
    <w:rsid w:val="4A802994"/>
    <w:rsid w:val="4C147E15"/>
    <w:rsid w:val="4D3D0B95"/>
    <w:rsid w:val="52B6255A"/>
    <w:rsid w:val="54210D44"/>
    <w:rsid w:val="547C13E4"/>
    <w:rsid w:val="56125AFF"/>
    <w:rsid w:val="5C9F196A"/>
    <w:rsid w:val="5F8B79B9"/>
    <w:rsid w:val="62686777"/>
    <w:rsid w:val="637B52F4"/>
    <w:rsid w:val="65187194"/>
    <w:rsid w:val="659A7435"/>
    <w:rsid w:val="67770BA0"/>
    <w:rsid w:val="682B39B6"/>
    <w:rsid w:val="691A3DDD"/>
    <w:rsid w:val="6931512E"/>
    <w:rsid w:val="6E8B1784"/>
    <w:rsid w:val="70132158"/>
    <w:rsid w:val="702B42C6"/>
    <w:rsid w:val="709D12FB"/>
    <w:rsid w:val="715D57DF"/>
    <w:rsid w:val="720C780E"/>
    <w:rsid w:val="76DB60CB"/>
    <w:rsid w:val="7B8639A2"/>
    <w:rsid w:val="7BE143A6"/>
    <w:rsid w:val="7CDE0DBB"/>
    <w:rsid w:val="7CFFAFF2"/>
    <w:rsid w:val="7DFB1EB5"/>
    <w:rsid w:val="7E9EAA01"/>
    <w:rsid w:val="7EFD9C56"/>
    <w:rsid w:val="7FE71BF3"/>
    <w:rsid w:val="9D7E9D79"/>
    <w:rsid w:val="CFFD9717"/>
    <w:rsid w:val="D6FE9DA1"/>
    <w:rsid w:val="DB3FE519"/>
    <w:rsid w:val="DD5F0F9C"/>
    <w:rsid w:val="ED9B2D7B"/>
    <w:rsid w:val="F77E5780"/>
    <w:rsid w:val="FDDF8CA5"/>
    <w:rsid w:val="FF734283"/>
    <w:rsid w:val="FFFA5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1"/>
    <w:semiHidden/>
    <w:unhideWhenUsed/>
    <w:qFormat/>
    <w:uiPriority w:val="0"/>
    <w:pPr>
      <w:numPr>
        <w:ilvl w:val="1"/>
        <w:numId w:val="1"/>
      </w:numPr>
      <w:adjustRightInd w:val="0"/>
      <w:snapToGrid w:val="0"/>
      <w:spacing w:line="360" w:lineRule="auto"/>
      <w:outlineLvl w:val="1"/>
    </w:pPr>
    <w:rPr>
      <w:rFonts w:ascii="Times New Roman" w:hAnsi="Times New Roman" w:eastAsia="宋体" w:cs="Times New Roman"/>
      <w:bC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99"/>
    <w:pPr>
      <w:adjustRightInd w:val="0"/>
      <w:snapToGrid w:val="0"/>
      <w:spacing w:line="360" w:lineRule="auto"/>
      <w:ind w:firstLine="794"/>
      <w:jc w:val="left"/>
    </w:pPr>
    <w:rPr>
      <w:rFonts w:ascii="Courier New" w:hAnsi="Courier New"/>
      <w:kern w:val="0"/>
      <w:sz w:val="24"/>
      <w:szCs w:val="20"/>
    </w:rPr>
  </w:style>
  <w:style w:type="paragraph" w:styleId="4">
    <w:name w:val="Plain Text"/>
    <w:basedOn w:val="1"/>
    <w:link w:val="10"/>
    <w:qFormat/>
    <w:uiPriority w:val="0"/>
    <w:rPr>
      <w:rFonts w:hint="eastAsia" w:ascii="宋体" w:hAnsi="Courier New" w:eastAsia="宋体" w:cs="Times New Roman"/>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10">
    <w:name w:val="纯文本 字符"/>
    <w:basedOn w:val="9"/>
    <w:link w:val="4"/>
    <w:qFormat/>
    <w:uiPriority w:val="0"/>
    <w:rPr>
      <w:rFonts w:hint="eastAsia" w:ascii="宋体" w:hAnsi="Courier New" w:eastAsia="宋体" w:cs="宋体"/>
      <w:kern w:val="2"/>
      <w:sz w:val="21"/>
      <w:szCs w:val="21"/>
    </w:rPr>
  </w:style>
  <w:style w:type="character" w:customStyle="1" w:styleId="11">
    <w:name w:val="标题 2 字符"/>
    <w:basedOn w:val="9"/>
    <w:link w:val="2"/>
    <w:qFormat/>
    <w:uiPriority w:val="0"/>
    <w:rPr>
      <w:bCs/>
      <w:kern w:val="2"/>
      <w:sz w:val="21"/>
      <w:szCs w:val="24"/>
    </w:rPr>
  </w:style>
  <w:style w:type="character" w:customStyle="1" w:styleId="12">
    <w:name w:val="页眉 字符"/>
    <w:basedOn w:val="9"/>
    <w:link w:val="6"/>
    <w:qFormat/>
    <w:uiPriority w:val="0"/>
    <w:rPr>
      <w:kern w:val="2"/>
      <w:sz w:val="18"/>
      <w:szCs w:val="18"/>
    </w:rPr>
  </w:style>
  <w:style w:type="paragraph" w:customStyle="1" w:styleId="13">
    <w:name w:val="Style2"/>
    <w:basedOn w:val="1"/>
    <w:qFormat/>
    <w:uiPriority w:val="0"/>
    <w:pPr>
      <w:numPr>
        <w:ilvl w:val="0"/>
        <w:numId w:val="2"/>
      </w:numPr>
    </w:pPr>
    <w:rPr>
      <w:rFonts w:ascii="Times New Roman" w:hAnsi="Times New Roman" w:eastAsia="宋体" w:cs="Times New Roman"/>
    </w:rPr>
  </w:style>
  <w:style w:type="character" w:customStyle="1" w:styleId="14">
    <w:name w:val="font01"/>
    <w:basedOn w:val="9"/>
    <w:qFormat/>
    <w:uiPriority w:val="0"/>
    <w:rPr>
      <w:rFonts w:hint="eastAsia" w:ascii="宋体" w:hAnsi="宋体" w:eastAsia="宋体" w:cs="宋体"/>
      <w:color w:val="000000"/>
      <w:sz w:val="22"/>
      <w:szCs w:val="22"/>
      <w:u w:val="none"/>
    </w:rPr>
  </w:style>
  <w:style w:type="character" w:customStyle="1" w:styleId="15">
    <w:name w:val="font2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454</Words>
  <Characters>2591</Characters>
  <Lines>21</Lines>
  <Paragraphs>6</Paragraphs>
  <TotalTime>1</TotalTime>
  <ScaleCrop>false</ScaleCrop>
  <LinksUpToDate>false</LinksUpToDate>
  <CharactersWithSpaces>3039</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2021-07-09T16:26:00Z</dcterms:created>
  <dc:creator>张思敏</dc:creator>
  <cp:lastModifiedBy>关关关～</cp:lastModifiedBy>
  <dcterms:modified xsi:type="dcterms:W3CDTF">2023-10-12T03:24:56Z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2B979C922645420CB7D1A307C1F6967F_13</vt:lpwstr>
  </property>
</Properties>
</file>