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highlight w:val="none"/>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highlight w:val="none"/>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JHWWZ-20240417-18(CH-SWJHW2024-021)</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陆丰甲湖湾电厂给料机弹簧采购项目</w:t>
      </w: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pStyle w:val="2"/>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cs="宋体"/>
          <w:b/>
          <w:color w:val="000000" w:themeColor="text1"/>
          <w:sz w:val="28"/>
          <w:highlight w:val="none"/>
          <w:shd w:val="clear" w:color="auto" w:fill="FFFFFF" w:themeFill="background1"/>
          <w14:textFill>
            <w14:solidFill>
              <w14:schemeClr w14:val="tx1"/>
            </w14:solidFill>
          </w14:textFill>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t>二零二</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年</w:t>
      </w:r>
      <w:r>
        <w:rPr>
          <w:rFonts w:hint="eastAsia" w:ascii="宋体" w:hAnsi="宋体" w:cs="宋体"/>
          <w:b/>
          <w:color w:val="000000" w:themeColor="text1"/>
          <w:sz w:val="28"/>
          <w:highlight w:val="none"/>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highlight w:val="none"/>
          <w:shd w:val="clear" w:color="auto" w:fill="FFFFFF" w:themeFill="background1"/>
          <w14:textFill>
            <w14:solidFill>
              <w14:schemeClr w14:val="tx1"/>
            </w14:solidFill>
          </w14:textFill>
        </w:rPr>
        <w:t>月</w:t>
      </w:r>
    </w:p>
    <w:p>
      <w:pPr>
        <w:rPr>
          <w:highlight w:val="none"/>
        </w:rPr>
      </w:pPr>
      <w:r>
        <w:rPr>
          <w:rFonts w:hint="eastAsia" w:ascii="宋体" w:hAnsi="宋体" w:cs="宋体"/>
          <w:b/>
          <w:color w:val="000000" w:themeColor="text1"/>
          <w:sz w:val="28"/>
          <w:highlight w:val="none"/>
          <w:shd w:val="clear" w:color="auto" w:fill="FFFFFF" w:themeFill="background1"/>
          <w14:textFill>
            <w14:solidFill>
              <w14:schemeClr w14:val="tx1"/>
            </w14:solidFill>
          </w14:textFill>
        </w:rPr>
        <w:br w:type="page"/>
      </w:r>
      <w:bookmarkEnd w:id="0"/>
    </w:p>
    <w:sdt>
      <w:sdtPr>
        <w:rPr>
          <w:rFonts w:hint="eastAsia" w:ascii="宋体" w:hAnsi="宋体" w:eastAsia="宋体" w:cs="宋体"/>
          <w:kern w:val="2"/>
          <w:sz w:val="32"/>
          <w:szCs w:val="40"/>
          <w:highlight w:val="none"/>
          <w:lang w:val="en-US" w:eastAsia="zh-CN" w:bidi="ar-SA"/>
        </w:rPr>
        <w:id w:val="147452743"/>
        <w15:color w:val="DBDBDB"/>
        <w:docPartObj>
          <w:docPartGallery w:val="Table of Contents"/>
          <w:docPartUnique/>
        </w:docPartObj>
      </w:sdtPr>
      <w:sdtEndPr>
        <w:rPr>
          <w:rFonts w:hint="eastAsia" w:ascii="Calibri" w:hAnsi="Calibri" w:eastAsia="宋体" w:cs="Times New Roman"/>
          <w:kern w:val="0"/>
          <w:sz w:val="18"/>
          <w:szCs w:val="18"/>
          <w:highlight w:val="none"/>
          <w:lang w:val="en-US" w:eastAsia="zh-CN" w:bidi="ar-SA"/>
        </w:rPr>
      </w:sdtEndPr>
      <w:sdtContent>
        <w:p>
          <w:pPr>
            <w:widowControl/>
            <w:jc w:val="center"/>
            <w:rPr>
              <w:rFonts w:hint="eastAsia" w:ascii="宋体" w:hAnsi="宋体" w:eastAsia="宋体" w:cs="宋体"/>
              <w:sz w:val="32"/>
              <w:szCs w:val="40"/>
              <w:highlight w:val="none"/>
            </w:rPr>
          </w:pPr>
          <w:r>
            <w:rPr>
              <w:rFonts w:hint="eastAsia" w:ascii="宋体" w:hAnsi="宋体" w:eastAsia="宋体" w:cs="宋体"/>
              <w:b/>
              <w:bCs/>
              <w:sz w:val="32"/>
              <w:szCs w:val="40"/>
              <w:highlight w:val="none"/>
            </w:rPr>
            <w:t>目录</w:t>
          </w:r>
        </w:p>
        <w:p>
          <w:pPr>
            <w:pStyle w:val="29"/>
            <w:tabs>
              <w:tab w:val="right" w:leader="dot" w:pos="9746"/>
            </w:tabs>
            <w:rPr>
              <w:sz w:val="22"/>
              <w:szCs w:val="22"/>
            </w:rPr>
          </w:pPr>
          <w:r>
            <w:rPr>
              <w:rFonts w:hint="eastAsia" w:ascii="宋体" w:hAnsi="宋体" w:eastAsia="宋体" w:cs="宋体"/>
              <w:b/>
              <w:bCs/>
              <w:sz w:val="320"/>
              <w:szCs w:val="320"/>
              <w:highlight w:val="none"/>
            </w:rPr>
            <w:fldChar w:fldCharType="begin"/>
          </w:r>
          <w:r>
            <w:rPr>
              <w:rFonts w:hint="eastAsia" w:ascii="宋体" w:hAnsi="宋体" w:eastAsia="宋体" w:cs="宋体"/>
              <w:b/>
              <w:bCs/>
              <w:sz w:val="320"/>
              <w:szCs w:val="320"/>
              <w:highlight w:val="none"/>
            </w:rPr>
            <w:instrText xml:space="preserve">TOC \o "1-1" \h \u </w:instrText>
          </w:r>
          <w:r>
            <w:rPr>
              <w:rFonts w:hint="eastAsia" w:ascii="宋体" w:hAnsi="宋体" w:eastAsia="宋体" w:cs="宋体"/>
              <w:b/>
              <w:bCs/>
              <w:sz w:val="320"/>
              <w:szCs w:val="320"/>
              <w:highlight w:val="none"/>
            </w:rPr>
            <w:fldChar w:fldCharType="separate"/>
          </w:r>
          <w:r>
            <w:rPr>
              <w:rFonts w:hint="eastAsia" w:ascii="宋体" w:hAnsi="宋体" w:eastAsia="宋体" w:cs="宋体"/>
              <w:bCs/>
              <w:sz w:val="22"/>
              <w:szCs w:val="320"/>
              <w:highlight w:val="none"/>
            </w:rPr>
            <w:fldChar w:fldCharType="begin"/>
          </w:r>
          <w:r>
            <w:rPr>
              <w:rFonts w:hint="eastAsia" w:ascii="宋体" w:hAnsi="宋体" w:eastAsia="宋体" w:cs="宋体"/>
              <w:bCs/>
              <w:sz w:val="22"/>
              <w:szCs w:val="320"/>
              <w:highlight w:val="none"/>
            </w:rPr>
            <w:instrText xml:space="preserve"> HYPERLINK \l _Toc28272 </w:instrText>
          </w:r>
          <w:r>
            <w:rPr>
              <w:rFonts w:hint="eastAsia" w:ascii="宋体" w:hAnsi="宋体" w:eastAsia="宋体" w:cs="宋体"/>
              <w:bCs/>
              <w:sz w:val="22"/>
              <w:szCs w:val="320"/>
              <w:highlight w:val="none"/>
            </w:rPr>
            <w:fldChar w:fldCharType="separate"/>
          </w:r>
          <w:r>
            <w:rPr>
              <w:rFonts w:ascii="宋体" w:hAnsi="宋体" w:cs="宋体"/>
              <w:bCs/>
              <w:sz w:val="22"/>
              <w:szCs w:val="40"/>
              <w:shd w:val="clear" w:fill="FFFFFF" w:themeFill="background1"/>
            </w:rPr>
            <w:t xml:space="preserve">第一章 </w:t>
          </w:r>
          <w:r>
            <w:rPr>
              <w:rFonts w:hint="eastAsia" w:ascii="宋体" w:hAnsi="宋体" w:cs="宋体"/>
              <w:bCs/>
              <w:sz w:val="22"/>
              <w:szCs w:val="40"/>
              <w:highlight w:val="none"/>
              <w:shd w:val="clear" w:color="auto" w:fill="FFFFFF" w:themeFill="background1"/>
              <w:lang w:eastAsia="zh-CN"/>
            </w:rPr>
            <w:t>投标人须知</w:t>
          </w:r>
          <w:r>
            <w:rPr>
              <w:sz w:val="22"/>
              <w:szCs w:val="22"/>
            </w:rPr>
            <w:tab/>
          </w:r>
          <w:r>
            <w:rPr>
              <w:sz w:val="22"/>
              <w:szCs w:val="22"/>
            </w:rPr>
            <w:fldChar w:fldCharType="begin"/>
          </w:r>
          <w:r>
            <w:rPr>
              <w:sz w:val="22"/>
              <w:szCs w:val="22"/>
            </w:rPr>
            <w:instrText xml:space="preserve"> PAGEREF _Toc28272 \h </w:instrText>
          </w:r>
          <w:r>
            <w:rPr>
              <w:sz w:val="22"/>
              <w:szCs w:val="22"/>
            </w:rPr>
            <w:fldChar w:fldCharType="separate"/>
          </w:r>
          <w:r>
            <w:rPr>
              <w:sz w:val="22"/>
              <w:szCs w:val="22"/>
            </w:rPr>
            <w:t>3</w:t>
          </w:r>
          <w:r>
            <w:rPr>
              <w:sz w:val="22"/>
              <w:szCs w:val="22"/>
            </w:rPr>
            <w:fldChar w:fldCharType="end"/>
          </w:r>
          <w:r>
            <w:rPr>
              <w:rFonts w:hint="eastAsia" w:ascii="宋体" w:hAnsi="宋体" w:eastAsia="宋体" w:cs="宋体"/>
              <w:bCs/>
              <w:sz w:val="22"/>
              <w:szCs w:val="32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_Toc28380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shd w:val="clear" w:fill="FFFFFF" w:themeFill="background1"/>
              <w:lang w:val="en-US" w:eastAsia="zh-CN"/>
            </w:rPr>
            <w:t xml:space="preserve">第二章 </w:t>
          </w:r>
          <w:r>
            <w:rPr>
              <w:rFonts w:hint="eastAsia" w:ascii="宋体" w:hAnsi="宋体" w:cs="宋体"/>
              <w:bCs/>
              <w:sz w:val="22"/>
              <w:szCs w:val="40"/>
              <w:highlight w:val="none"/>
              <w:shd w:val="clear" w:color="auto" w:fill="FFFFFF" w:themeFill="background1"/>
              <w:lang w:val="en-US" w:eastAsia="zh-CN"/>
            </w:rPr>
            <w:t>采购需求书</w:t>
          </w:r>
          <w:r>
            <w:rPr>
              <w:sz w:val="22"/>
              <w:szCs w:val="22"/>
            </w:rPr>
            <w:tab/>
          </w:r>
          <w:r>
            <w:rPr>
              <w:sz w:val="22"/>
              <w:szCs w:val="22"/>
            </w:rPr>
            <w:fldChar w:fldCharType="begin"/>
          </w:r>
          <w:r>
            <w:rPr>
              <w:sz w:val="22"/>
              <w:szCs w:val="22"/>
            </w:rPr>
            <w:instrText xml:space="preserve"> PAGEREF _Toc28380 \h </w:instrText>
          </w:r>
          <w:r>
            <w:rPr>
              <w:sz w:val="22"/>
              <w:szCs w:val="22"/>
            </w:rPr>
            <w:fldChar w:fldCharType="separate"/>
          </w:r>
          <w:r>
            <w:rPr>
              <w:sz w:val="22"/>
              <w:szCs w:val="22"/>
            </w:rPr>
            <w:t>7</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_Toc1340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三</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合同条款及格式</w:t>
          </w:r>
          <w:r>
            <w:rPr>
              <w:sz w:val="22"/>
              <w:szCs w:val="22"/>
            </w:rPr>
            <w:tab/>
          </w:r>
          <w:r>
            <w:rPr>
              <w:sz w:val="22"/>
              <w:szCs w:val="22"/>
            </w:rPr>
            <w:fldChar w:fldCharType="begin"/>
          </w:r>
          <w:r>
            <w:rPr>
              <w:sz w:val="22"/>
              <w:szCs w:val="22"/>
            </w:rPr>
            <w:instrText xml:space="preserve"> PAGEREF _Toc1340 \h </w:instrText>
          </w:r>
          <w:r>
            <w:rPr>
              <w:sz w:val="22"/>
              <w:szCs w:val="22"/>
            </w:rPr>
            <w:fldChar w:fldCharType="separate"/>
          </w:r>
          <w:r>
            <w:rPr>
              <w:sz w:val="22"/>
              <w:szCs w:val="22"/>
            </w:rPr>
            <w:t>9</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_Toc8224 </w:instrText>
          </w:r>
          <w:r>
            <w:rPr>
              <w:rFonts w:hint="eastAsia" w:ascii="宋体" w:hAnsi="宋体" w:eastAsia="宋体" w:cs="宋体"/>
              <w:bCs/>
              <w:sz w:val="22"/>
              <w:szCs w:val="300"/>
              <w:highlight w:val="none"/>
            </w:rPr>
            <w:fldChar w:fldCharType="separate"/>
          </w:r>
          <w:r>
            <w:rPr>
              <w:rFonts w:hint="eastAsia" w:ascii="宋体" w:hAnsi="宋体" w:cs="宋体"/>
              <w:bCs/>
              <w:sz w:val="22"/>
              <w:szCs w:val="40"/>
              <w:highlight w:val="none"/>
              <w:shd w:val="clear" w:color="auto" w:fill="FFFFFF" w:themeFill="background1"/>
            </w:rPr>
            <w:t>第</w:t>
          </w:r>
          <w:r>
            <w:rPr>
              <w:rFonts w:hint="eastAsia" w:ascii="宋体" w:hAnsi="宋体" w:cs="宋体"/>
              <w:bCs/>
              <w:sz w:val="22"/>
              <w:szCs w:val="40"/>
              <w:highlight w:val="none"/>
              <w:shd w:val="clear" w:color="auto" w:fill="FFFFFF" w:themeFill="background1"/>
              <w:lang w:val="en-US" w:eastAsia="zh-CN"/>
            </w:rPr>
            <w:t>四</w:t>
          </w:r>
          <w:r>
            <w:rPr>
              <w:rFonts w:hint="eastAsia" w:ascii="宋体" w:hAnsi="宋体" w:cs="宋体"/>
              <w:bCs/>
              <w:sz w:val="22"/>
              <w:szCs w:val="40"/>
              <w:highlight w:val="none"/>
              <w:shd w:val="clear" w:color="auto" w:fill="FFFFFF" w:themeFill="background1"/>
            </w:rPr>
            <w:t xml:space="preserve">章 </w:t>
          </w:r>
          <w:r>
            <w:rPr>
              <w:rFonts w:hint="eastAsia" w:ascii="宋体" w:hAnsi="宋体" w:cs="宋体"/>
              <w:bCs/>
              <w:sz w:val="22"/>
              <w:szCs w:val="40"/>
              <w:highlight w:val="none"/>
              <w:shd w:val="clear" w:color="auto" w:fill="FFFFFF" w:themeFill="background1"/>
              <w:lang w:val="en-US" w:eastAsia="zh-CN"/>
            </w:rPr>
            <w:t>评分标准</w:t>
          </w:r>
          <w:r>
            <w:rPr>
              <w:sz w:val="22"/>
              <w:szCs w:val="22"/>
            </w:rPr>
            <w:tab/>
          </w:r>
          <w:r>
            <w:rPr>
              <w:sz w:val="22"/>
              <w:szCs w:val="22"/>
            </w:rPr>
            <w:fldChar w:fldCharType="begin"/>
          </w:r>
          <w:r>
            <w:rPr>
              <w:sz w:val="22"/>
              <w:szCs w:val="22"/>
            </w:rPr>
            <w:instrText xml:space="preserve"> PAGEREF _Toc8224 \h </w:instrText>
          </w:r>
          <w:r>
            <w:rPr>
              <w:sz w:val="22"/>
              <w:szCs w:val="22"/>
            </w:rPr>
            <w:fldChar w:fldCharType="separate"/>
          </w:r>
          <w:r>
            <w:rPr>
              <w:sz w:val="22"/>
              <w:szCs w:val="22"/>
            </w:rPr>
            <w:t>10</w:t>
          </w:r>
          <w:r>
            <w:rPr>
              <w:sz w:val="22"/>
              <w:szCs w:val="22"/>
            </w:rPr>
            <w:fldChar w:fldCharType="end"/>
          </w:r>
          <w:r>
            <w:rPr>
              <w:rFonts w:hint="eastAsia" w:ascii="宋体" w:hAnsi="宋体" w:eastAsia="宋体" w:cs="宋体"/>
              <w:bCs/>
              <w:sz w:val="22"/>
              <w:szCs w:val="300"/>
              <w:highlight w:val="none"/>
            </w:rPr>
            <w:fldChar w:fldCharType="end"/>
          </w:r>
        </w:p>
        <w:p>
          <w:pPr>
            <w:pStyle w:val="29"/>
            <w:tabs>
              <w:tab w:val="right" w:leader="dot" w:pos="9746"/>
            </w:tabs>
            <w:rPr>
              <w:sz w:val="22"/>
              <w:szCs w:val="22"/>
            </w:rPr>
          </w:pPr>
          <w:r>
            <w:rPr>
              <w:rFonts w:hint="eastAsia" w:ascii="宋体" w:hAnsi="宋体" w:eastAsia="宋体" w:cs="宋体"/>
              <w:bCs/>
              <w:sz w:val="22"/>
              <w:szCs w:val="300"/>
              <w:highlight w:val="none"/>
            </w:rPr>
            <w:fldChar w:fldCharType="begin"/>
          </w:r>
          <w:r>
            <w:rPr>
              <w:rFonts w:hint="eastAsia" w:ascii="宋体" w:hAnsi="宋体" w:eastAsia="宋体" w:cs="宋体"/>
              <w:bCs/>
              <w:sz w:val="22"/>
              <w:szCs w:val="300"/>
              <w:highlight w:val="none"/>
            </w:rPr>
            <w:instrText xml:space="preserve"> HYPERLINK \l _Toc1693 </w:instrText>
          </w:r>
          <w:r>
            <w:rPr>
              <w:rFonts w:hint="eastAsia" w:ascii="宋体" w:hAnsi="宋体" w:eastAsia="宋体" w:cs="宋体"/>
              <w:bCs/>
              <w:sz w:val="22"/>
              <w:szCs w:val="300"/>
              <w:highlight w:val="none"/>
            </w:rPr>
            <w:fldChar w:fldCharType="separate"/>
          </w:r>
          <w:r>
            <w:rPr>
              <w:rFonts w:hint="eastAsia" w:ascii="宋体" w:hAnsi="宋体" w:cs="宋体"/>
              <w:bCs/>
              <w:kern w:val="44"/>
              <w:sz w:val="22"/>
              <w:szCs w:val="40"/>
              <w:highlight w:val="none"/>
              <w:shd w:val="clear" w:color="auto" w:fill="FFFFFF" w:themeFill="background1"/>
            </w:rPr>
            <w:t>第</w:t>
          </w:r>
          <w:r>
            <w:rPr>
              <w:rFonts w:hint="eastAsia" w:ascii="宋体" w:hAnsi="宋体" w:cs="宋体"/>
              <w:bCs/>
              <w:kern w:val="44"/>
              <w:sz w:val="22"/>
              <w:szCs w:val="40"/>
              <w:highlight w:val="none"/>
              <w:shd w:val="clear" w:color="auto" w:fill="FFFFFF" w:themeFill="background1"/>
              <w:lang w:val="en-US" w:eastAsia="zh-CN"/>
            </w:rPr>
            <w:t>五</w:t>
          </w:r>
          <w:r>
            <w:rPr>
              <w:rFonts w:hint="eastAsia" w:ascii="宋体" w:hAnsi="宋体" w:cs="宋体"/>
              <w:bCs/>
              <w:kern w:val="44"/>
              <w:sz w:val="22"/>
              <w:szCs w:val="40"/>
              <w:highlight w:val="none"/>
              <w:shd w:val="clear" w:color="auto" w:fill="FFFFFF" w:themeFill="background1"/>
            </w:rPr>
            <w:t xml:space="preserve">章 </w:t>
          </w:r>
          <w:r>
            <w:rPr>
              <w:rFonts w:hint="eastAsia" w:ascii="宋体" w:hAnsi="宋体" w:cs="宋体"/>
              <w:bCs/>
              <w:kern w:val="44"/>
              <w:sz w:val="22"/>
              <w:szCs w:val="40"/>
              <w:highlight w:val="none"/>
              <w:shd w:val="clear" w:color="auto" w:fill="FFFFFF" w:themeFill="background1"/>
              <w:lang w:val="en-US" w:eastAsia="zh-CN"/>
            </w:rPr>
            <w:t>投标</w:t>
          </w:r>
          <w:r>
            <w:rPr>
              <w:rFonts w:hint="eastAsia" w:ascii="宋体" w:hAnsi="宋体" w:cs="宋体"/>
              <w:bCs/>
              <w:kern w:val="44"/>
              <w:sz w:val="22"/>
              <w:szCs w:val="40"/>
              <w:highlight w:val="none"/>
              <w:shd w:val="clear" w:color="auto" w:fill="FFFFFF" w:themeFill="background1"/>
            </w:rPr>
            <w:t>附件</w:t>
          </w:r>
          <w:r>
            <w:rPr>
              <w:sz w:val="22"/>
              <w:szCs w:val="22"/>
            </w:rPr>
            <w:tab/>
          </w:r>
          <w:r>
            <w:rPr>
              <w:sz w:val="22"/>
              <w:szCs w:val="22"/>
            </w:rPr>
            <w:fldChar w:fldCharType="begin"/>
          </w:r>
          <w:r>
            <w:rPr>
              <w:sz w:val="22"/>
              <w:szCs w:val="22"/>
            </w:rPr>
            <w:instrText xml:space="preserve"> PAGEREF _Toc1693 \h </w:instrText>
          </w:r>
          <w:r>
            <w:rPr>
              <w:sz w:val="22"/>
              <w:szCs w:val="22"/>
            </w:rPr>
            <w:fldChar w:fldCharType="separate"/>
          </w:r>
          <w:r>
            <w:rPr>
              <w:sz w:val="22"/>
              <w:szCs w:val="22"/>
            </w:rPr>
            <w:t>12</w:t>
          </w:r>
          <w:r>
            <w:rPr>
              <w:sz w:val="22"/>
              <w:szCs w:val="22"/>
            </w:rPr>
            <w:fldChar w:fldCharType="end"/>
          </w:r>
          <w:r>
            <w:rPr>
              <w:rFonts w:hint="eastAsia" w:ascii="宋体" w:hAnsi="宋体" w:eastAsia="宋体" w:cs="宋体"/>
              <w:bCs/>
              <w:sz w:val="22"/>
              <w:szCs w:val="300"/>
              <w:highlight w:val="none"/>
            </w:rPr>
            <w:fldChar w:fldCharType="end"/>
          </w:r>
        </w:p>
        <w:p>
          <w:pPr>
            <w:pStyle w:val="2"/>
            <w:jc w:val="center"/>
            <w:rPr>
              <w:highlight w:val="none"/>
            </w:rPr>
          </w:pPr>
          <w:r>
            <w:rPr>
              <w:rFonts w:hint="eastAsia" w:ascii="宋体" w:hAnsi="宋体" w:eastAsia="宋体" w:cs="宋体"/>
              <w:bCs/>
              <w:sz w:val="21"/>
              <w:szCs w:val="300"/>
              <w:highlight w:val="none"/>
            </w:rPr>
            <w:fldChar w:fldCharType="end"/>
          </w:r>
        </w:p>
      </w:sdtContent>
    </w:sdt>
    <w:p>
      <w:pPr>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highlight w:val="none"/>
          <w:shd w:val="clear" w:color="auto" w:fill="FFFFFF" w:themeFill="background1"/>
          <w14:textFill>
            <w14:solidFill>
              <w14:schemeClr w14:val="tx1"/>
            </w14:solidFill>
          </w14:textFill>
        </w:rPr>
      </w:pPr>
      <w:bookmarkStart w:id="2" w:name="_Toc28272"/>
      <w:r>
        <w:rPr>
          <w:rFonts w:hint="eastAsia" w:ascii="宋体" w:hAnsi="宋体" w:cs="宋体"/>
          <w:b/>
          <w:bCs/>
          <w:color w:val="000000" w:themeColor="text1"/>
          <w:sz w:val="32"/>
          <w:szCs w:val="32"/>
          <w:highlight w:val="none"/>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highlight w:val="none"/>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highlight w:val="none"/>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投标人认为</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highlight w:val="none"/>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公告和</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的解释权归</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highlight w:val="none"/>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等相关</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报名报价</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销</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成交资格</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highlight w:val="none"/>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highlight w:val="none"/>
          <w:shd w:val="clear" w:color="auto" w:fill="FFFFFF" w:themeFill="background1"/>
          <w:lang w:eastAsia="zh-TW"/>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6.确定成交候选人（供应商须在系统</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环节上传响应文件并</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，响应文件请按照本文件</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第五章投标附件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进行编制后打印，每页加盖公章后</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技术商务部分</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扫描成一个P</w:t>
      </w:r>
      <w:r>
        <w:rPr>
          <w:rFonts w:ascii="宋体" w:hAnsi="宋体" w:cs="宋体"/>
          <w:b/>
          <w:bCs/>
          <w:color w:val="000000" w:themeColor="text1"/>
          <w:kern w:val="0"/>
          <w:szCs w:val="21"/>
          <w:highlight w:val="none"/>
          <w:shd w:val="clear" w:color="auto" w:fill="FFFFFF" w:themeFill="background1"/>
          <w14:textFill>
            <w14:solidFill>
              <w14:schemeClr w14:val="tx1"/>
            </w14:solidFill>
          </w14:textFill>
        </w:rPr>
        <w:t>DF</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报价部分单独扫描成一个PDF上传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lang w:val="en-US" w:eastAsia="zh-CN"/>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pStyle w:val="40"/>
        <w:numPr>
          <w:ilvl w:val="0"/>
          <w:numId w:val="11"/>
        </w:numPr>
        <w:shd w:val="clear" w:color="auto" w:fill="FFFFFF"/>
        <w:spacing w:before="0" w:beforeAutospacing="0" w:after="0" w:afterAutospacing="0" w:line="276" w:lineRule="auto"/>
        <w:rPr>
          <w:b/>
          <w:bCs/>
          <w:color w:val="000000" w:themeColor="text1"/>
          <w:sz w:val="21"/>
          <w:szCs w:val="21"/>
          <w:highlight w:val="none"/>
          <w:u w:val="double"/>
          <w14:textFill>
            <w14:solidFill>
              <w14:schemeClr w14:val="tx1"/>
            </w14:solidFill>
          </w14:textFill>
        </w:rPr>
      </w:pPr>
      <w:r>
        <w:rPr>
          <w:rFonts w:hint="eastAsia"/>
          <w:b/>
          <w:bCs/>
          <w:color w:val="000000" w:themeColor="text1"/>
          <w:sz w:val="21"/>
          <w:szCs w:val="21"/>
          <w:highlight w:val="none"/>
          <w:u w:val="double"/>
          <w14:textFill>
            <w14:solidFill>
              <w14:schemeClr w14:val="tx1"/>
            </w14:solidFill>
          </w14:textFill>
        </w:rPr>
        <w:t>按有关法律、法规、规章属于</w:t>
      </w:r>
      <w:r>
        <w:rPr>
          <w:rFonts w:hint="eastAsia"/>
          <w:b/>
          <w:bCs/>
          <w:color w:val="000000" w:themeColor="text1"/>
          <w:sz w:val="21"/>
          <w:szCs w:val="21"/>
          <w:highlight w:val="none"/>
          <w:u w:val="double"/>
          <w:lang w:eastAsia="zh-CN"/>
          <w14:textFill>
            <w14:solidFill>
              <w14:schemeClr w14:val="tx1"/>
            </w14:solidFill>
          </w14:textFill>
        </w:rPr>
        <w:t>投标</w:t>
      </w:r>
      <w:r>
        <w:rPr>
          <w:rFonts w:hint="eastAsia"/>
          <w:b/>
          <w:bCs/>
          <w:color w:val="000000" w:themeColor="text1"/>
          <w:sz w:val="21"/>
          <w:szCs w:val="21"/>
          <w:highlight w:val="none"/>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8.</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9.</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lang w:val="en-US" w:eastAsia="zh-CN"/>
          <w14:textFill>
            <w14:solidFill>
              <w14:schemeClr w14:val="tx1"/>
            </w14:solidFill>
          </w14:textFill>
        </w:rPr>
        <w:t>货物类</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bCs/>
          <w:color w:val="000000" w:themeColor="text1"/>
          <w:sz w:val="30"/>
          <w:szCs w:val="30"/>
          <w:highlight w:val="none"/>
          <w:shd w:val="clear" w:color="auto" w:fill="FFFFFF" w:themeFill="background1"/>
          <w14:textFill>
            <w14:solidFill>
              <w14:schemeClr w14:val="tx1"/>
            </w14:solidFill>
          </w14:textFill>
        </w:rPr>
      </w:pP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.联系方式</w:t>
      </w:r>
      <w:bookmarkEnd w:id="3"/>
      <w:bookmarkEnd w:id="4"/>
    </w:p>
    <w:p>
      <w:pPr>
        <w:numPr>
          <w:ilvl w:val="0"/>
          <w:numId w:val="15"/>
        </w:numPr>
        <w:autoSpaceDE w:val="0"/>
        <w:autoSpaceDN w:val="0"/>
        <w:adjustRightInd w:val="0"/>
        <w:spacing w:line="360" w:lineRule="auto"/>
        <w:jc w:val="left"/>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联系电话：0660-3388969</w:t>
      </w:r>
    </w:p>
    <w:p>
      <w:pPr>
        <w:numPr>
          <w:ilvl w:val="0"/>
          <w:numId w:val="15"/>
        </w:numPr>
        <w:autoSpaceDE w:val="0"/>
        <w:autoSpaceDN w:val="0"/>
        <w:adjustRightInd w:val="0"/>
        <w:spacing w:line="360" w:lineRule="auto"/>
        <w:jc w:val="left"/>
        <w:rPr>
          <w:rFonts w:hint="default" w:ascii="宋体" w:hAnsi="宋体" w:cs="宋体"/>
          <w:color w:val="000000" w:themeColor="text1"/>
          <w:kern w:val="0"/>
          <w:szCs w:val="21"/>
          <w:highlight w:val="none"/>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cs="宋体"/>
          <w:color w:val="000000" w:themeColor="text1"/>
          <w:kern w:val="0"/>
          <w:szCs w:val="21"/>
          <w:highlight w:val="none"/>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8380"/>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采购需求书</w:t>
      </w:r>
      <w:bookmarkEnd w:id="6"/>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bookmarkStart w:id="7" w:name="_Toc311015397"/>
      <w:r>
        <w:rPr>
          <w:rFonts w:hint="eastAsia" w:ascii="宋体" w:hAnsi="宋体" w:cs="宋体"/>
          <w:b/>
          <w:bCs/>
          <w:color w:val="000000" w:themeColor="text1"/>
          <w:sz w:val="24"/>
          <w:szCs w:val="24"/>
          <w:highlight w:val="none"/>
          <w14:textFill>
            <w14:solidFill>
              <w14:schemeClr w14:val="tx1"/>
            </w14:solidFill>
          </w14:textFill>
        </w:rPr>
        <w:t>项目一览表：</w:t>
      </w:r>
    </w:p>
    <w:tbl>
      <w:tblPr>
        <w:tblStyle w:val="4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854"/>
        <w:gridCol w:w="2297"/>
        <w:gridCol w:w="737"/>
        <w:gridCol w:w="1009"/>
        <w:gridCol w:w="14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234"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 xml:space="preserve">名称 </w:t>
            </w:r>
          </w:p>
        </w:tc>
        <w:tc>
          <w:tcPr>
            <w:tcW w:w="1854"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规格/材质</w:t>
            </w:r>
          </w:p>
        </w:tc>
        <w:tc>
          <w:tcPr>
            <w:tcW w:w="2297"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要求</w:t>
            </w:r>
          </w:p>
        </w:tc>
        <w:tc>
          <w:tcPr>
            <w:tcW w:w="737"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单位</w:t>
            </w:r>
          </w:p>
        </w:tc>
        <w:tc>
          <w:tcPr>
            <w:tcW w:w="1009"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lang w:val="en-US" w:eastAsia="zh-CN"/>
                <w14:textFill>
                  <w14:solidFill>
                    <w14:schemeClr w14:val="tx1"/>
                  </w14:solidFill>
                </w14:textFill>
              </w:rPr>
              <w:t>数量</w:t>
            </w:r>
          </w:p>
        </w:tc>
        <w:tc>
          <w:tcPr>
            <w:tcW w:w="1442" w:type="dxa"/>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t>货期</w:t>
            </w:r>
          </w:p>
        </w:tc>
        <w:tc>
          <w:tcPr>
            <w:tcW w:w="1203" w:type="dxa"/>
            <w:shd w:val="clear" w:color="auto" w:fill="auto"/>
            <w:vAlign w:val="center"/>
          </w:tcPr>
          <w:p>
            <w:pPr>
              <w:spacing w:before="50" w:line="360" w:lineRule="auto"/>
              <w:jc w:val="cente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themeFill="background1"/>
                <w14:textFill>
                  <w14:solidFill>
                    <w14:schemeClr w14:val="tx1"/>
                  </w14:solidFill>
                </w14:textFill>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234"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隔振弹簧</w:t>
            </w:r>
          </w:p>
        </w:tc>
        <w:tc>
          <w:tcPr>
            <w:tcW w:w="1854"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21-12-17-23</w:t>
            </w: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br w:type="textWrapping"/>
            </w: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颜色：红色</w:t>
            </w:r>
          </w:p>
        </w:tc>
        <w:tc>
          <w:tcPr>
            <w:tcW w:w="2297"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北京GK</w:t>
            </w:r>
          </w:p>
        </w:tc>
        <w:tc>
          <w:tcPr>
            <w:tcW w:w="737"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个</w:t>
            </w:r>
          </w:p>
        </w:tc>
        <w:tc>
          <w:tcPr>
            <w:tcW w:w="1009"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6</w:t>
            </w:r>
          </w:p>
        </w:tc>
        <w:tc>
          <w:tcPr>
            <w:tcW w:w="1442"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t xml:space="preserve"> 报价供应商须在报价表自行备注货期，否则视为无效报价。</w:t>
            </w:r>
          </w:p>
        </w:tc>
        <w:tc>
          <w:tcPr>
            <w:tcW w:w="1203"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t>由招标人通知送货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234"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bookmarkStart w:id="8" w:name="_Toc271292849"/>
            <w:bookmarkStart w:id="9" w:name="_Toc60080662"/>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力轮弹簧</w:t>
            </w:r>
          </w:p>
        </w:tc>
        <w:tc>
          <w:tcPr>
            <w:tcW w:w="1854"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21-17-364-12</w:t>
            </w:r>
          </w:p>
        </w:tc>
        <w:tc>
          <w:tcPr>
            <w:tcW w:w="2297"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北京GK</w:t>
            </w:r>
          </w:p>
        </w:tc>
        <w:tc>
          <w:tcPr>
            <w:tcW w:w="737"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根</w:t>
            </w:r>
          </w:p>
        </w:tc>
        <w:tc>
          <w:tcPr>
            <w:tcW w:w="1009"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lang w:val="en-US" w:eastAsia="zh-CN"/>
                <w14:textFill>
                  <w14:solidFill>
                    <w14:schemeClr w14:val="tx1"/>
                  </w14:solidFill>
                </w14:textFill>
              </w:rPr>
              <w:t>8</w:t>
            </w:r>
          </w:p>
        </w:tc>
        <w:tc>
          <w:tcPr>
            <w:tcW w:w="1442"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t xml:space="preserve"> 报价供应商须在报价表自行备注货期，否则视为无效报价。</w:t>
            </w:r>
          </w:p>
        </w:tc>
        <w:tc>
          <w:tcPr>
            <w:tcW w:w="1203" w:type="dxa"/>
            <w:vAlign w:val="center"/>
          </w:tcPr>
          <w:p>
            <w:pPr>
              <w:tabs>
                <w:tab w:val="left" w:pos="1128"/>
              </w:tabs>
              <w:spacing w:before="50" w:line="360" w:lineRule="auto"/>
              <w:jc w:val="cente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FFFFFF" w:themeFill="background1"/>
                <w14:textFill>
                  <w14:solidFill>
                    <w14:schemeClr w14:val="tx1"/>
                  </w14:solidFill>
                </w14:textFill>
              </w:rPr>
              <w:t>由招标人通知送货</w:t>
            </w:r>
          </w:p>
        </w:tc>
      </w:tr>
    </w:tbl>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商务要求</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质量、验收标准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投标人应按照采购通知规定的时间供货。投标人在交货前24小时通知采购人做好接货准备，投标人提前交货的，要经采购人同意，否则产品在交货日期前的毁损、灭失风险及有关的保管费用由投标人自行承担。</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质量要求符合国家标准。</w:t>
      </w:r>
    </w:p>
    <w:p>
      <w:pPr>
        <w:numPr>
          <w:ilvl w:val="0"/>
          <w:numId w:val="18"/>
        </w:numPr>
        <w:tabs>
          <w:tab w:val="left" w:pos="640"/>
        </w:tabs>
        <w:spacing w:line="360" w:lineRule="auto"/>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投标人应严格按照采购人技术规范要求的质量供货，采购人提出的任何质量投诉，投标人应立即采取更正行动予以改进，并在24小时内反馈给采购人。</w:t>
      </w:r>
    </w:p>
    <w:p>
      <w:pPr>
        <w:numPr>
          <w:ilvl w:val="0"/>
          <w:numId w:val="17"/>
        </w:numPr>
        <w:tabs>
          <w:tab w:val="left" w:pos="64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包装与运输</w:t>
      </w:r>
    </w:p>
    <w:p>
      <w:pPr>
        <w:spacing w:line="360" w:lineRule="auto"/>
        <w:ind w:left="17" w:leftChars="8" w:firstLine="441" w:firstLineChars="18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外包装应能保证所购物品在运输过程中不发生损坏，包装物不回收。运输方式及费用负担：公路、铁路、航空运输，运费由投标人承担。</w:t>
      </w:r>
    </w:p>
    <w:p>
      <w:pPr>
        <w:pStyle w:val="187"/>
        <w:widowControl/>
        <w:numPr>
          <w:ilvl w:val="0"/>
          <w:numId w:val="16"/>
        </w:numPr>
        <w:spacing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违约责任</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因卖方延迟到货，每延迟一天按当批次订货总价1%进行扣款。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因卖方所提供的材料质量不符合要求，有权退货处理，并按当批次订货总价5%进行扣款。</w:t>
      </w:r>
    </w:p>
    <w:p>
      <w:pPr>
        <w:numPr>
          <w:ilvl w:val="0"/>
          <w:numId w:val="19"/>
        </w:numPr>
        <w:spacing w:line="360" w:lineRule="auto"/>
        <w:rPr>
          <w:rFonts w:hint="eastAsia"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14:textFill>
            <w14:solidFill>
              <w14:schemeClr w14:val="tx1"/>
            </w14:solidFill>
          </w14:textFill>
        </w:rPr>
        <w:t>违反买方对外来单位及人员管理的相关制度、厂级安健环管理规定等制度，按买方相关制度进行考核。</w:t>
      </w:r>
    </w:p>
    <w:p>
      <w:pPr>
        <w:pStyle w:val="187"/>
        <w:widowControl/>
        <w:numPr>
          <w:ilvl w:val="0"/>
          <w:numId w:val="16"/>
        </w:numPr>
        <w:spacing w:before="156" w:beforeLines="50" w:line="360" w:lineRule="auto"/>
        <w:ind w:firstLineChars="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结算及支付方式</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本合同使用货币种类为人民币(RMB)。</w:t>
      </w:r>
    </w:p>
    <w:p>
      <w:pPr>
        <w:numPr>
          <w:ilvl w:val="0"/>
          <w:numId w:val="20"/>
        </w:numPr>
        <w:spacing w:line="360" w:lineRule="auto"/>
        <w:ind w:left="425" w:leftChars="0" w:hanging="425" w:firstLineChars="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付款方式：银行汇款。</w:t>
      </w:r>
    </w:p>
    <w:p>
      <w:pPr>
        <w:numPr>
          <w:ilvl w:val="0"/>
          <w:numId w:val="20"/>
        </w:numPr>
        <w:spacing w:line="360" w:lineRule="auto"/>
        <w:ind w:left="425" w:leftChars="0" w:hanging="425" w:firstLineChars="0"/>
        <w:rPr>
          <w:rFonts w:hint="default" w:ascii="宋体" w:hAnsi="宋体" w:eastAsia="宋体" w:cs="宋体"/>
          <w:b w:val="0"/>
          <w:bCs w:val="0"/>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合同价款的支付：</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详见合同模板。</w:t>
      </w:r>
      <w:bookmarkEnd w:id="8"/>
      <w:bookmarkEnd w:id="9"/>
    </w:p>
    <w:p>
      <w:pPr>
        <w:pStyle w:val="187"/>
        <w:widowControl/>
        <w:numPr>
          <w:ilvl w:val="0"/>
          <w:numId w:val="0"/>
        </w:numPr>
        <w:spacing w:before="156" w:beforeLines="50" w:line="360" w:lineRule="auto"/>
        <w:ind w:leftChars="0"/>
        <w:jc w:val="left"/>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其他内容详见合同模板</w:t>
      </w:r>
      <w: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10" w:name="_Toc1340"/>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10"/>
    </w:p>
    <w:p>
      <w:pPr>
        <w:spacing w:line="360" w:lineRule="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bookmarkStart w:id="11" w:name="_Toc8224"/>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11"/>
    </w:p>
    <w:p>
      <w:pPr>
        <w:pStyle w:val="187"/>
        <w:widowControl/>
        <w:numPr>
          <w:ilvl w:val="0"/>
          <w:numId w:val="0"/>
        </w:numPr>
        <w:ind w:leftChars="0"/>
        <w:jc w:val="left"/>
        <w:rPr>
          <w:rFonts w:ascii="宋体" w:hAnsi="宋体" w:cs="宋体"/>
          <w:b/>
          <w:bCs/>
          <w:color w:val="000000" w:themeColor="text1"/>
          <w:szCs w:val="21"/>
          <w:highlight w:val="none"/>
          <w14:textFill>
            <w14:solidFill>
              <w14:schemeClr w14:val="tx1"/>
            </w14:solidFill>
          </w14:textFill>
        </w:rPr>
      </w:pPr>
    </w:p>
    <w:bookmarkEnd w:id="7"/>
    <w:p>
      <w:pPr>
        <w:spacing w:line="420" w:lineRule="exact"/>
        <w:contextualSpacing/>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采用综合评分法：</w:t>
      </w:r>
    </w:p>
    <w:tbl>
      <w:tblPr>
        <w:tblStyle w:val="45"/>
        <w:tblW w:w="9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736"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25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评审因素</w:t>
            </w:r>
          </w:p>
        </w:tc>
        <w:tc>
          <w:tcPr>
            <w:tcW w:w="47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评分细则</w:t>
            </w:r>
          </w:p>
        </w:tc>
        <w:tc>
          <w:tcPr>
            <w:tcW w:w="993"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分值（分）</w:t>
            </w:r>
          </w:p>
        </w:tc>
        <w:tc>
          <w:tcPr>
            <w:tcW w:w="992"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质量保证措施</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对投标人所提供的</w:t>
            </w:r>
            <w:r>
              <w:rPr>
                <w:rFonts w:hint="eastAsia" w:ascii="宋体" w:hAnsi="宋体" w:cs="宋体"/>
                <w:bCs/>
                <w:color w:val="000000" w:themeColor="text1"/>
                <w:sz w:val="24"/>
                <w:szCs w:val="24"/>
                <w:highlight w:val="none"/>
                <w14:textFill>
                  <w14:solidFill>
                    <w14:schemeClr w14:val="tx1"/>
                  </w14:solidFill>
                </w14:textFill>
              </w:rPr>
              <w:t>质量保证措施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售后服务</w:t>
            </w:r>
          </w:p>
          <w:p>
            <w:pPr>
              <w:ind w:left="-63" w:leftChars="-30" w:right="-88" w:rightChars="-4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color w:val="000000"/>
                <w:sz w:val="24"/>
                <w:szCs w:val="24"/>
                <w:highlight w:val="none"/>
              </w:rPr>
              <w:t>售后服务</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横向对比优得20分；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横向对比良得14分；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横向对比中得8分；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20分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供货服务方案</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对</w:t>
            </w:r>
            <w:r>
              <w:rPr>
                <w:rFonts w:hint="eastAsia" w:ascii="宋体" w:hAnsi="宋体" w:cs="宋体"/>
                <w:color w:val="000000" w:themeColor="text1"/>
                <w:sz w:val="24"/>
                <w:szCs w:val="24"/>
                <w:highlight w:val="none"/>
                <w14:textFill>
                  <w14:solidFill>
                    <w14:schemeClr w14:val="tx1"/>
                  </w14:solidFill>
                </w14:textFill>
              </w:rPr>
              <w:t>投标人所提供的</w:t>
            </w:r>
            <w:r>
              <w:rPr>
                <w:rFonts w:hint="eastAsia" w:ascii="宋体" w:hAnsi="宋体"/>
                <w:sz w:val="24"/>
                <w:szCs w:val="24"/>
                <w:highlight w:val="none"/>
              </w:rPr>
              <w:t>供货服务方案</w:t>
            </w:r>
            <w:r>
              <w:rPr>
                <w:rFonts w:hint="eastAsia" w:ascii="宋体" w:hAnsi="宋体"/>
                <w:color w:val="000000"/>
                <w:sz w:val="24"/>
                <w:szCs w:val="32"/>
                <w:highlight w:val="none"/>
              </w:rPr>
              <w:t>具体、详细、可行，有利于项目实施，</w:t>
            </w:r>
            <w:r>
              <w:rPr>
                <w:rFonts w:hint="eastAsia" w:ascii="宋体" w:hAnsi="宋体" w:cs="宋体"/>
                <w:color w:val="000000" w:themeColor="text1"/>
                <w:sz w:val="24"/>
                <w:szCs w:val="24"/>
                <w:highlight w:val="none"/>
                <w14:textFill>
                  <w14:solidFill>
                    <w14:schemeClr w14:val="tx1"/>
                  </w14:solidFill>
                </w14:textFill>
              </w:rPr>
              <w:t>进行横向对比：</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横向对比差得0分；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 w:val="24"/>
                <w:szCs w:val="24"/>
                <w:highlight w:val="none"/>
              </w:rPr>
            </w:pPr>
            <w:r>
              <w:rPr>
                <w:rFonts w:hint="eastAsia" w:ascii="宋体" w:hAnsi="宋体" w:cs="宋体"/>
                <w:color w:val="000000"/>
                <w:sz w:val="24"/>
                <w:szCs w:val="24"/>
                <w:highlight w:val="none"/>
              </w:rPr>
              <w:t>管理体系认证</w:t>
            </w:r>
          </w:p>
          <w:p>
            <w:pPr>
              <w:ind w:left="-63" w:leftChars="-30" w:right="-88" w:rightChars="-42"/>
              <w:jc w:val="center"/>
              <w:rPr>
                <w:rFonts w:hint="eastAsia" w:ascii="宋体" w:hAnsi="宋体"/>
                <w:color w:val="000000"/>
                <w:sz w:val="24"/>
                <w:szCs w:val="24"/>
                <w:highlight w:val="none"/>
              </w:rPr>
            </w:pPr>
            <w:r>
              <w:rPr>
                <w:rFonts w:hint="eastAsia" w:ascii="宋体" w:hAnsi="宋体"/>
                <w:color w:val="000000"/>
                <w:sz w:val="24"/>
                <w:szCs w:val="24"/>
                <w:highlight w:val="none"/>
              </w:rPr>
              <w:t>（提供有效的证书复印件加盖公章）</w:t>
            </w:r>
          </w:p>
          <w:p>
            <w:pPr>
              <w:ind w:left="-63" w:leftChars="-30" w:right="-88" w:rightChars="-42"/>
              <w:jc w:val="center"/>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olor w:val="000000"/>
                <w:sz w:val="24"/>
                <w:szCs w:val="24"/>
                <w:highlight w:val="none"/>
              </w:rPr>
              <w:t>（</w:t>
            </w:r>
            <w:r>
              <w:rPr>
                <w:rFonts w:ascii="宋体" w:hAnsi="宋体"/>
                <w:color w:val="000000"/>
                <w:sz w:val="24"/>
                <w:szCs w:val="24"/>
                <w:highlight w:val="none"/>
              </w:rPr>
              <w:t>6</w:t>
            </w:r>
            <w:r>
              <w:rPr>
                <w:rFonts w:hint="eastAsia" w:ascii="宋体" w:hAnsi="宋体"/>
                <w:color w:val="000000"/>
                <w:sz w:val="24"/>
                <w:szCs w:val="24"/>
                <w:highlight w:val="none"/>
              </w:rPr>
              <w:t>分）</w:t>
            </w:r>
          </w:p>
        </w:tc>
        <w:tc>
          <w:tcPr>
            <w:tcW w:w="4719" w:type="dxa"/>
            <w:vAlign w:val="center"/>
          </w:tcPr>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具有有效的质量管理体系认证证书的得</w:t>
            </w:r>
            <w:r>
              <w:rPr>
                <w:rFonts w:ascii="宋体" w:hAnsi="宋体"/>
                <w:sz w:val="24"/>
                <w:szCs w:val="24"/>
                <w:highlight w:val="none"/>
              </w:rPr>
              <w:t>2</w:t>
            </w:r>
            <w:r>
              <w:rPr>
                <w:rFonts w:hint="eastAsia" w:ascii="宋体" w:hAnsi="宋体"/>
                <w:sz w:val="24"/>
                <w:szCs w:val="24"/>
                <w:highlight w:val="none"/>
              </w:rPr>
              <w:t>分；没有得0分。</w:t>
            </w:r>
          </w:p>
          <w:p>
            <w:pPr>
              <w:numPr>
                <w:ilvl w:val="3"/>
                <w:numId w:val="22"/>
              </w:numPr>
              <w:tabs>
                <w:tab w:val="left" w:pos="317"/>
                <w:tab w:val="clear" w:pos="1680"/>
              </w:tabs>
              <w:snapToGrid w:val="0"/>
              <w:ind w:left="283" w:hanging="283"/>
              <w:rPr>
                <w:rFonts w:ascii="宋体" w:hAnsi="宋体"/>
                <w:sz w:val="24"/>
                <w:szCs w:val="24"/>
                <w:highlight w:val="none"/>
              </w:rPr>
            </w:pPr>
            <w:r>
              <w:rPr>
                <w:rFonts w:hint="eastAsia" w:ascii="宋体" w:hAnsi="宋体"/>
                <w:sz w:val="24"/>
                <w:szCs w:val="24"/>
                <w:highlight w:val="none"/>
              </w:rPr>
              <w:t>具有有效的环境管理体系认证证书的得</w:t>
            </w:r>
            <w:r>
              <w:rPr>
                <w:rFonts w:ascii="宋体" w:hAnsi="宋体"/>
                <w:sz w:val="24"/>
                <w:szCs w:val="24"/>
                <w:highlight w:val="none"/>
              </w:rPr>
              <w:t>2</w:t>
            </w:r>
            <w:r>
              <w:rPr>
                <w:rFonts w:hint="eastAsia" w:ascii="宋体" w:hAnsi="宋体"/>
                <w:sz w:val="24"/>
                <w:szCs w:val="24"/>
                <w:highlight w:val="none"/>
              </w:rPr>
              <w:t>分；没有得0分。</w:t>
            </w:r>
          </w:p>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具有有效的职业健康安全管理体系认证证书的得</w:t>
            </w:r>
            <w:r>
              <w:rPr>
                <w:rFonts w:ascii="宋体" w:hAnsi="宋体"/>
                <w:sz w:val="24"/>
                <w:szCs w:val="24"/>
                <w:highlight w:val="none"/>
              </w:rPr>
              <w:t>2</w:t>
            </w:r>
            <w:r>
              <w:rPr>
                <w:rFonts w:hint="eastAsia" w:ascii="宋体" w:hAnsi="宋体"/>
                <w:sz w:val="24"/>
                <w:szCs w:val="24"/>
                <w:highlight w:val="none"/>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审计报告</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(6分)</w:t>
            </w:r>
          </w:p>
        </w:tc>
        <w:tc>
          <w:tcPr>
            <w:tcW w:w="4719" w:type="dxa"/>
            <w:vAlign w:val="center"/>
          </w:tcPr>
          <w:p>
            <w:pPr>
              <w:spacing w:line="276" w:lineRule="auto"/>
              <w:rPr>
                <w:rFonts w:ascii="宋体" w:hAnsi="宋体" w:cs="宋体"/>
                <w:strike/>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提供202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年至20</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2021</w:t>
            </w:r>
            <w:r>
              <w:rPr>
                <w:rFonts w:hint="eastAsia" w:ascii="宋体" w:hAnsi="宋体" w:cs="宋体"/>
                <w:color w:val="000000"/>
                <w:sz w:val="24"/>
                <w:szCs w:val="24"/>
                <w:highlight w:val="none"/>
              </w:rPr>
              <w:t>年至今类似业绩</w:t>
            </w:r>
          </w:p>
          <w:p>
            <w:pPr>
              <w:ind w:left="-63" w:leftChars="-30" w:right="-88" w:rightChars="-4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sz w:val="24"/>
                <w:szCs w:val="24"/>
                <w:highlight w:val="none"/>
              </w:rPr>
              <w:t>（18分）</w:t>
            </w:r>
          </w:p>
        </w:tc>
        <w:tc>
          <w:tcPr>
            <w:tcW w:w="4719" w:type="dxa"/>
            <w:vAlign w:val="center"/>
          </w:tcPr>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w:t>
            </w:r>
            <w:r>
              <w:rPr>
                <w:rFonts w:hint="eastAsia" w:ascii="宋体" w:hAnsi="宋体" w:cs="宋体"/>
                <w:color w:val="000000" w:themeColor="text1"/>
                <w:sz w:val="24"/>
                <w:szCs w:val="24"/>
                <w:highlight w:val="none"/>
                <w:lang w:val="en-US" w:eastAsia="zh-CN"/>
                <w14:textFill>
                  <w14:solidFill>
                    <w14:schemeClr w14:val="tx1"/>
                  </w14:solidFill>
                </w14:textFill>
              </w:rPr>
              <w:t>2021</w:t>
            </w:r>
            <w:r>
              <w:rPr>
                <w:rFonts w:hint="eastAsia" w:ascii="宋体" w:hAnsi="宋体" w:cs="宋体"/>
                <w:color w:val="000000" w:themeColor="text1"/>
                <w:sz w:val="24"/>
                <w:szCs w:val="24"/>
                <w:highlight w:val="none"/>
                <w14:textFill>
                  <w14:solidFill>
                    <w14:schemeClr w14:val="tx1"/>
                  </w14:solidFill>
                </w14:textFill>
              </w:rPr>
              <w:t>年至今类似</w:t>
            </w:r>
            <w:r>
              <w:rPr>
                <w:rFonts w:hint="eastAsia" w:ascii="宋体" w:hAnsi="宋体" w:cs="宋体"/>
                <w:color w:val="000000" w:themeColor="text1"/>
                <w:sz w:val="24"/>
                <w:szCs w:val="32"/>
                <w:highlight w:val="none"/>
                <w14:textFill>
                  <w14:solidFill>
                    <w14:schemeClr w14:val="tx1"/>
                  </w14:solidFill>
                </w14:textFill>
              </w:rPr>
              <w:t>业绩</w:t>
            </w:r>
            <w:r>
              <w:rPr>
                <w:rFonts w:hint="eastAsia" w:ascii="宋体" w:hAnsi="宋体" w:cs="宋体"/>
                <w:color w:val="000000" w:themeColor="text1"/>
                <w:sz w:val="24"/>
                <w:szCs w:val="24"/>
                <w:highlight w:val="none"/>
                <w14:textFill>
                  <w14:solidFill>
                    <w14:schemeClr w14:val="tx1"/>
                  </w14:solidFill>
                </w14:textFill>
              </w:rPr>
              <w:t>：每提供一个得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分，最高得</w:t>
            </w:r>
            <w:r>
              <w:rPr>
                <w:rFonts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分。</w:t>
            </w:r>
          </w:p>
          <w:p>
            <w:pPr>
              <w:ind w:left="-63" w:leftChars="-30" w:right="-88" w:rightChars="-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50" w:type="dxa"/>
            <w:gridSpan w:val="5"/>
            <w:vAlign w:val="center"/>
          </w:tcPr>
          <w:p>
            <w:pPr>
              <w:adjustRightInd w:val="0"/>
              <w:snapToGrid w:val="0"/>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hint="eastAsia" w:ascii="宋体" w:hAnsi="宋体" w:cs="宋体"/>
                <w:b/>
                <w:color w:val="000000" w:themeColor="text1"/>
                <w:sz w:val="24"/>
                <w:szCs w:val="24"/>
                <w:highlight w:val="none"/>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36" w:type="dxa"/>
            <w:vAlign w:val="center"/>
          </w:tcPr>
          <w:p>
            <w:pPr>
              <w:pStyle w:val="187"/>
              <w:numPr>
                <w:ilvl w:val="0"/>
                <w:numId w:val="21"/>
              </w:numPr>
              <w:adjustRightInd w:val="0"/>
              <w:snapToGrid w:val="0"/>
              <w:spacing w:line="360" w:lineRule="exact"/>
              <w:ind w:firstLineChars="0"/>
              <w:jc w:val="center"/>
              <w:rPr>
                <w:rFonts w:ascii="宋体" w:hAnsi="宋体" w:cs="宋体"/>
                <w:color w:val="000000" w:themeColor="text1"/>
                <w:sz w:val="24"/>
                <w:szCs w:val="24"/>
                <w:highlight w:val="none"/>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30分）</w:t>
            </w:r>
          </w:p>
        </w:tc>
        <w:tc>
          <w:tcPr>
            <w:tcW w:w="4719" w:type="dxa"/>
            <w:vAlign w:val="center"/>
          </w:tcPr>
          <w:p>
            <w:pPr>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100% </w:t>
            </w:r>
          </w:p>
        </w:tc>
      </w:tr>
    </w:tbl>
    <w:p>
      <w:pPr>
        <w:pStyle w:val="2"/>
        <w:rPr>
          <w:highlight w:val="none"/>
        </w:rPr>
      </w:pPr>
    </w:p>
    <w:p>
      <w:pPr>
        <w:spacing w:line="420" w:lineRule="exact"/>
        <w:contextualSpacing/>
        <w:rPr>
          <w:vanish/>
          <w:color w:val="000000" w:themeColor="text1"/>
          <w:highlight w:val="none"/>
          <w14:textFill>
            <w14:solidFill>
              <w14:schemeClr w14:val="tx1"/>
            </w14:solidFill>
          </w14:textFill>
        </w:rPr>
      </w:pPr>
    </w:p>
    <w:p>
      <w:pPr>
        <w:snapToGrid w:val="0"/>
        <w:spacing w:line="360" w:lineRule="auto"/>
        <w:ind w:firstLine="105" w:firstLineChars="5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备注：</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23"/>
        </w:numPr>
        <w:autoSpaceDN w:val="0"/>
        <w:snapToGrid w:val="0"/>
        <w:spacing w:line="360" w:lineRule="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highlight w:val="none"/>
          <w14:textFill>
            <w14:solidFill>
              <w14:schemeClr w14:val="tx1"/>
            </w14:solidFill>
          </w14:textFill>
        </w:rPr>
        <w:t>小数点后保留两位有效数</w:t>
      </w:r>
      <w:r>
        <w:rPr>
          <w:rFonts w:hint="eastAsia" w:ascii="宋体" w:hAnsi="宋体"/>
          <w:bCs/>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投标人的总得分为：综合得分（总得分）＝投标报价得分＋商务部分得分＋</w:t>
      </w:r>
      <w:r>
        <w:rPr>
          <w:rFonts w:hint="eastAsia"/>
          <w:color w:val="000000" w:themeColor="text1"/>
          <w:sz w:val="21"/>
          <w:szCs w:val="21"/>
          <w:highlight w:val="none"/>
          <w14:textFill>
            <w14:solidFill>
              <w14:schemeClr w14:val="tx1"/>
            </w14:solidFill>
          </w14:textFill>
        </w:rPr>
        <w:t>技术部分</w:t>
      </w:r>
      <w:r>
        <w:rPr>
          <w:rFonts w:hint="eastAsia" w:ascii="宋体" w:hAnsi="宋体"/>
          <w:color w:val="000000" w:themeColor="text1"/>
          <w:sz w:val="21"/>
          <w:szCs w:val="21"/>
          <w:highlight w:val="none"/>
          <w14:textFill>
            <w14:solidFill>
              <w14:schemeClr w14:val="tx1"/>
            </w14:solidFill>
          </w14:textFill>
        </w:rPr>
        <w:t>得分</w:t>
      </w:r>
    </w:p>
    <w:p>
      <w:pPr>
        <w:pStyle w:val="2"/>
        <w:ind w:firstLine="0"/>
        <w:rPr>
          <w:rFonts w:ascii="宋体" w:hAnsi="宋体" w:cs="宋体"/>
          <w:color w:val="000000" w:themeColor="text1"/>
          <w:kern w:val="2"/>
          <w:sz w:val="21"/>
          <w:szCs w:val="21"/>
          <w:highlight w:val="none"/>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highlight w:val="none"/>
          <w:shd w:val="clear" w:color="auto" w:fill="FFFFFF" w:themeFill="background1"/>
          <w14:textFill>
            <w14:solidFill>
              <w14:schemeClr w14:val="tx1"/>
            </w14:solidFill>
          </w14:textFill>
        </w:rPr>
      </w:pPr>
      <w:bookmarkStart w:id="12" w:name="_Toc1693"/>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highlight w:val="none"/>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highlight w:val="none"/>
          <w:shd w:val="clear" w:color="auto" w:fill="FFFFFF" w:themeFill="background1"/>
          <w14:textFill>
            <w14:solidFill>
              <w14:schemeClr w14:val="tx1"/>
            </w14:solidFill>
          </w14:textFill>
        </w:rPr>
        <w:t>附件</w:t>
      </w:r>
      <w:bookmarkEnd w:id="12"/>
    </w:p>
    <w:p>
      <w:pPr>
        <w:jc w:val="center"/>
        <w:outlineLvl w:val="9"/>
        <w:rPr>
          <w:rFonts w:hint="eastAsia" w:ascii="黑体" w:hAnsi="黑体" w:eastAsia="黑体"/>
          <w:bCs/>
          <w:sz w:val="32"/>
          <w:szCs w:val="32"/>
          <w:highlight w:val="none"/>
        </w:rPr>
      </w:pPr>
      <w:r>
        <w:rPr>
          <w:rFonts w:hint="eastAsia" w:ascii="宋体" w:hAnsi="宋体" w:eastAsia="宋体" w:cs="宋体"/>
          <w:b/>
          <w:bCs/>
          <w:color w:val="000000" w:themeColor="text1"/>
          <w:sz w:val="32"/>
          <w:szCs w:val="32"/>
          <w:highlight w:val="none"/>
          <w14:textFill>
            <w14:solidFill>
              <w14:schemeClr w14:val="tx1"/>
            </w14:solidFill>
          </w14:textFill>
        </w:rPr>
        <w:t>文件领购登记表</w:t>
      </w:r>
    </w:p>
    <w:tbl>
      <w:tblPr>
        <w:tblStyle w:val="45"/>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包组号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如有</w:t>
            </w:r>
            <w:r>
              <w:rPr>
                <w:rFonts w:hint="eastAsia" w:ascii="宋体" w:hAnsi="宋体" w:cs="宋体"/>
                <w:sz w:val="21"/>
                <w:szCs w:val="21"/>
                <w:highlight w:val="none"/>
                <w:lang w:eastAsia="zh-CN"/>
              </w:rPr>
              <w:t>）</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领购文件日期</w:t>
            </w:r>
          </w:p>
        </w:tc>
        <w:tc>
          <w:tcPr>
            <w:tcW w:w="1975"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单位信息</w:t>
            </w: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3234" w:type="dxa"/>
            <w:noWrap w:val="0"/>
            <w:vAlign w:val="center"/>
          </w:tcPr>
          <w:p>
            <w:pPr>
              <w:adjustRightInd w:val="0"/>
              <w:snapToGrid w:val="0"/>
              <w:jc w:val="left"/>
              <w:rPr>
                <w:rFonts w:hint="eastAsia" w:ascii="宋体" w:hAnsi="宋体" w:eastAsia="宋体" w:cs="宋体"/>
                <w:sz w:val="21"/>
                <w:szCs w:val="21"/>
                <w:highlight w:val="none"/>
              </w:rPr>
            </w:pP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邮箱</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非常重要！请确保正确</w:t>
            </w:r>
            <w:r>
              <w:rPr>
                <w:rFonts w:hint="eastAsia" w:ascii="宋体" w:hAnsi="宋体" w:eastAsia="宋体" w:cs="宋体"/>
                <w:sz w:val="21"/>
                <w:szCs w:val="21"/>
                <w:highlight w:val="none"/>
              </w:rPr>
              <w:t>）</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136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w:t>
            </w:r>
          </w:p>
        </w:tc>
        <w:tc>
          <w:tcPr>
            <w:tcW w:w="3234" w:type="dxa"/>
            <w:noWrap w:val="0"/>
            <w:vAlign w:val="center"/>
          </w:tcPr>
          <w:p>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(□先生 □女士)</w:t>
            </w:r>
          </w:p>
        </w:tc>
        <w:tc>
          <w:tcPr>
            <w:tcW w:w="2132"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highlight w:val="none"/>
              </w:rPr>
            </w:pPr>
          </w:p>
        </w:tc>
        <w:tc>
          <w:tcPr>
            <w:tcW w:w="4602" w:type="dxa"/>
            <w:gridSpan w:val="2"/>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纳税人识别号或统一社会信用代码(必填)</w:t>
            </w:r>
          </w:p>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温馨提示</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声明</w:t>
            </w:r>
          </w:p>
        </w:tc>
        <w:tc>
          <w:tcPr>
            <w:tcW w:w="8709" w:type="dxa"/>
            <w:gridSpan w:val="4"/>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1.采购代理机构发送本项目相关文件至领购文件单位的上述“邮箱”，视为有效送达。</w:t>
            </w:r>
          </w:p>
          <w:p>
            <w:pPr>
              <w:adjustRightInd w:val="0"/>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highlight w:val="none"/>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 xml:space="preserve">   </w:t>
      </w:r>
    </w:p>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highlight w:val="none"/>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highlight w:val="none"/>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highlight w:val="none"/>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highlight w:val="none"/>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陆丰甲湖湾电厂给料机弹簧采购项目</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的</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highlight w:val="none"/>
          <w:u w:val="singl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单位名称：</w:t>
      </w:r>
      <w:r>
        <w:rPr>
          <w:rFonts w:hint="eastAsia" w:ascii="宋体" w:hAnsi="宋体" w:cs="宋体"/>
          <w:color w:val="000000" w:themeColor="text1"/>
          <w:szCs w:val="21"/>
          <w:highlight w:val="none"/>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pPr>
      <w:bookmarkStart w:id="13" w:name="_Toc16084"/>
      <w:bookmarkStart w:id="14" w:name="_Toc21777"/>
      <w:r>
        <w:rPr>
          <w:rFonts w:hint="eastAsia" w:ascii="宋体" w:hAnsi="宋体" w:eastAsia="宋体" w:cs="宋体"/>
          <w:b/>
          <w:color w:val="000000" w:themeColor="text1"/>
          <w:sz w:val="32"/>
          <w:szCs w:val="32"/>
          <w:highlight w:val="none"/>
          <w:shd w:val="clear" w:color="auto" w:fill="FFFFFF" w:themeFill="background1"/>
          <w14:textFill>
            <w14:solidFill>
              <w14:schemeClr w14:val="tx1"/>
            </w14:solidFill>
          </w14:textFill>
        </w:rPr>
        <w:t>招标代理服务费承诺书</w:t>
      </w:r>
      <w:bookmarkEnd w:id="13"/>
      <w:bookmarkEnd w:id="14"/>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tabs>
          <w:tab w:val="left" w:pos="1425"/>
        </w:tabs>
        <w:jc w:val="center"/>
        <w:rPr>
          <w:rFonts w:ascii="宋体" w:hAnsi="宋体" w:eastAsia="宋体" w:cs="宋体"/>
          <w:b/>
          <w:sz w:val="40"/>
          <w:szCs w:val="40"/>
          <w:highlight w:val="none"/>
        </w:rPr>
      </w:pPr>
      <w:r>
        <w:rPr>
          <w:rFonts w:hint="eastAsia" w:ascii="宋体" w:hAnsi="宋体" w:eastAsia="宋体" w:cs="宋体"/>
          <w:b/>
          <w:sz w:val="40"/>
          <w:szCs w:val="40"/>
          <w:highlight w:val="none"/>
          <w:u w:val="single"/>
        </w:rPr>
        <w:t xml:space="preserve">         </w:t>
      </w:r>
      <w:r>
        <w:rPr>
          <w:rFonts w:hint="eastAsia" w:ascii="宋体" w:hAnsi="宋体" w:eastAsia="宋体" w:cs="宋体"/>
          <w:b/>
          <w:sz w:val="40"/>
          <w:szCs w:val="40"/>
          <w:highlight w:val="none"/>
        </w:rPr>
        <w:t>项目</w:t>
      </w:r>
      <w:r>
        <w:rPr>
          <w:rFonts w:hint="eastAsia" w:ascii="宋体" w:hAnsi="宋体" w:eastAsia="宋体" w:cs="宋体"/>
          <w:b/>
          <w:sz w:val="40"/>
          <w:szCs w:val="40"/>
          <w:highlight w:val="none"/>
          <w:lang w:val="en-US" w:eastAsia="zh-CN"/>
        </w:rPr>
        <w:t>投</w:t>
      </w:r>
      <w:r>
        <w:rPr>
          <w:rFonts w:hint="eastAsia" w:ascii="宋体" w:hAnsi="宋体" w:eastAsia="宋体" w:cs="宋体"/>
          <w:b/>
          <w:sz w:val="40"/>
          <w:szCs w:val="40"/>
          <w:highlight w:val="none"/>
        </w:rPr>
        <w:t>标报价单</w:t>
      </w:r>
    </w:p>
    <w:p>
      <w:pPr>
        <w:tabs>
          <w:tab w:val="left" w:pos="1425"/>
        </w:tabs>
        <w:wordWrap w:val="0"/>
        <w:ind w:left="-1239" w:leftChars="-590"/>
        <w:jc w:val="right"/>
        <w:rPr>
          <w:rFonts w:ascii="宋体" w:hAnsi="宋体" w:eastAsia="宋体" w:cs="宋体"/>
          <w:sz w:val="22"/>
          <w:highlight w:val="none"/>
          <w:u w:val="single"/>
        </w:rPr>
      </w:pPr>
      <w:r>
        <w:rPr>
          <w:rFonts w:hint="eastAsia" w:ascii="宋体" w:hAnsi="宋体" w:eastAsia="宋体" w:cs="宋体"/>
          <w:b/>
          <w:color w:val="000000"/>
          <w:kern w:val="0"/>
          <w:sz w:val="22"/>
          <w:highlight w:val="none"/>
        </w:rPr>
        <w:t>招标编号：</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JHWWZ-20240417-18</w:t>
      </w:r>
    </w:p>
    <w:tbl>
      <w:tblPr>
        <w:tblStyle w:val="45"/>
        <w:tblW w:w="10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44"/>
        <w:gridCol w:w="1038"/>
        <w:gridCol w:w="891"/>
        <w:gridCol w:w="540"/>
        <w:gridCol w:w="430"/>
        <w:gridCol w:w="1013"/>
        <w:gridCol w:w="1268"/>
        <w:gridCol w:w="1109"/>
        <w:gridCol w:w="1146"/>
        <w:gridCol w:w="131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 w:hRule="atLeast"/>
          <w:jc w:val="center"/>
        </w:trPr>
        <w:tc>
          <w:tcPr>
            <w:tcW w:w="4390"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招标方：陆丰宝丽华新能源电力有限公司</w:t>
            </w:r>
          </w:p>
        </w:tc>
        <w:tc>
          <w:tcPr>
            <w:tcW w:w="6505" w:type="dxa"/>
            <w:gridSpan w:val="6"/>
            <w:vAlign w:val="center"/>
          </w:tcPr>
          <w:p>
            <w:pPr>
              <w:widowControl/>
              <w:rPr>
                <w:rFonts w:hint="eastAsia"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投标</w:t>
            </w:r>
            <w:r>
              <w:rPr>
                <w:rFonts w:hint="eastAsia" w:ascii="宋体" w:hAnsi="宋体" w:eastAsia="宋体" w:cs="宋体"/>
                <w:b/>
                <w:color w:val="000000"/>
                <w:kern w:val="0"/>
                <w:sz w:val="22"/>
                <w:highlight w:val="none"/>
                <w:lang w:val="en-US" w:eastAsia="zh-CN"/>
              </w:rPr>
              <w:t>方</w:t>
            </w:r>
            <w:r>
              <w:rPr>
                <w:rFonts w:hint="eastAsia" w:ascii="宋体" w:hAnsi="宋体" w:eastAsia="宋体" w:cs="宋体"/>
                <w:b/>
                <w:color w:val="000000"/>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1" w:type="dxa"/>
            <w:gridSpan w:val="8"/>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采   购   需   求</w:t>
            </w:r>
          </w:p>
        </w:tc>
        <w:tc>
          <w:tcPr>
            <w:tcW w:w="4224" w:type="dxa"/>
            <w:gridSpan w:val="4"/>
            <w:vAlign w:val="center"/>
          </w:tcPr>
          <w:p>
            <w:pPr>
              <w:widowControl/>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供  应  商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47"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1044"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名称</w:t>
            </w:r>
          </w:p>
        </w:tc>
        <w:tc>
          <w:tcPr>
            <w:tcW w:w="103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规格型号</w:t>
            </w:r>
          </w:p>
        </w:tc>
        <w:tc>
          <w:tcPr>
            <w:tcW w:w="891" w:type="dxa"/>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rPr>
              <w:t>要求</w:t>
            </w:r>
            <w:r>
              <w:rPr>
                <w:rFonts w:hint="eastAsia" w:ascii="宋体" w:hAnsi="宋体" w:cs="宋体"/>
                <w:color w:val="000000"/>
                <w:sz w:val="20"/>
                <w:szCs w:val="20"/>
                <w:highlight w:val="none"/>
                <w:lang w:val="en-US" w:eastAsia="zh-CN"/>
              </w:rPr>
              <w:t>/品牌</w:t>
            </w:r>
          </w:p>
        </w:tc>
        <w:tc>
          <w:tcPr>
            <w:tcW w:w="54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单位</w:t>
            </w:r>
          </w:p>
        </w:tc>
        <w:tc>
          <w:tcPr>
            <w:tcW w:w="43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数量</w:t>
            </w:r>
          </w:p>
        </w:tc>
        <w:tc>
          <w:tcPr>
            <w:tcW w:w="1013"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申购单编号</w:t>
            </w:r>
          </w:p>
        </w:tc>
        <w:tc>
          <w:tcPr>
            <w:tcW w:w="1268"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需求时间</w:t>
            </w:r>
          </w:p>
        </w:tc>
        <w:tc>
          <w:tcPr>
            <w:tcW w:w="110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供货周期 </w:t>
            </w:r>
          </w:p>
        </w:tc>
        <w:tc>
          <w:tcPr>
            <w:tcW w:w="1146"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单价（元）</w:t>
            </w:r>
          </w:p>
        </w:tc>
        <w:tc>
          <w:tcPr>
            <w:tcW w:w="1310"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总价（元）</w:t>
            </w:r>
          </w:p>
        </w:tc>
        <w:tc>
          <w:tcPr>
            <w:tcW w:w="659" w:type="dxa"/>
            <w:vAlign w:val="center"/>
          </w:tcPr>
          <w:p>
            <w:pPr>
              <w:widowControl/>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47" w:type="dxa"/>
            <w:shd w:val="clear" w:color="000000" w:fill="FFFFFF"/>
            <w:vAlign w:val="center"/>
          </w:tcPr>
          <w:p>
            <w:pPr>
              <w:widowControl/>
              <w:rPr>
                <w:rFonts w:ascii="宋体" w:hAnsi="宋体" w:eastAsia="宋体" w:cs="宋体"/>
                <w:color w:val="000000"/>
                <w:sz w:val="20"/>
                <w:szCs w:val="20"/>
                <w:highlight w:val="none"/>
              </w:rPr>
            </w:pPr>
          </w:p>
        </w:tc>
        <w:tc>
          <w:tcPr>
            <w:tcW w:w="1044" w:type="dxa"/>
            <w:shd w:val="clear" w:color="000000" w:fill="FFFFFF"/>
            <w:vAlign w:val="center"/>
          </w:tcPr>
          <w:p>
            <w:pPr>
              <w:widowControl/>
              <w:jc w:val="center"/>
              <w:rPr>
                <w:rFonts w:ascii="宋体" w:hAnsi="宋体" w:eastAsia="宋体" w:cs="宋体"/>
                <w:color w:val="000000"/>
                <w:sz w:val="20"/>
                <w:szCs w:val="20"/>
                <w:highlight w:val="none"/>
              </w:rPr>
            </w:pPr>
          </w:p>
        </w:tc>
        <w:tc>
          <w:tcPr>
            <w:tcW w:w="1038" w:type="dxa"/>
            <w:shd w:val="clear" w:color="000000" w:fill="FFFFFF"/>
            <w:vAlign w:val="center"/>
          </w:tcPr>
          <w:p>
            <w:pPr>
              <w:widowControl/>
              <w:jc w:val="center"/>
              <w:rPr>
                <w:rFonts w:ascii="宋体" w:hAnsi="宋体" w:eastAsia="宋体" w:cs="宋体"/>
                <w:color w:val="000000"/>
                <w:sz w:val="20"/>
                <w:szCs w:val="20"/>
                <w:highlight w:val="none"/>
              </w:rPr>
            </w:pPr>
          </w:p>
        </w:tc>
        <w:tc>
          <w:tcPr>
            <w:tcW w:w="891" w:type="dxa"/>
            <w:shd w:val="clear" w:color="000000" w:fill="FFFFFF"/>
            <w:vAlign w:val="center"/>
          </w:tcPr>
          <w:p>
            <w:pPr>
              <w:widowControl/>
              <w:jc w:val="center"/>
              <w:rPr>
                <w:rFonts w:ascii="宋体" w:hAnsi="宋体" w:eastAsia="宋体" w:cs="宋体"/>
                <w:color w:val="000000"/>
                <w:sz w:val="20"/>
                <w:szCs w:val="20"/>
                <w:highlight w:val="none"/>
              </w:rPr>
            </w:pPr>
          </w:p>
        </w:tc>
        <w:tc>
          <w:tcPr>
            <w:tcW w:w="540" w:type="dxa"/>
            <w:shd w:val="clear" w:color="000000" w:fill="FFFFFF"/>
            <w:vAlign w:val="center"/>
          </w:tcPr>
          <w:p>
            <w:pPr>
              <w:widowControl/>
              <w:jc w:val="center"/>
              <w:rPr>
                <w:rFonts w:ascii="宋体" w:hAnsi="宋体" w:eastAsia="宋体" w:cs="宋体"/>
                <w:color w:val="000000"/>
                <w:sz w:val="20"/>
                <w:szCs w:val="20"/>
                <w:highlight w:val="none"/>
              </w:rPr>
            </w:pPr>
          </w:p>
        </w:tc>
        <w:tc>
          <w:tcPr>
            <w:tcW w:w="430" w:type="dxa"/>
            <w:shd w:val="clear" w:color="000000" w:fill="FFFFFF"/>
            <w:vAlign w:val="center"/>
          </w:tcPr>
          <w:p>
            <w:pPr>
              <w:widowControl/>
              <w:jc w:val="center"/>
              <w:rPr>
                <w:rFonts w:ascii="宋体" w:hAnsi="宋体" w:eastAsia="宋体" w:cs="宋体"/>
                <w:color w:val="000000"/>
                <w:sz w:val="20"/>
                <w:szCs w:val="20"/>
                <w:highlight w:val="none"/>
              </w:rPr>
            </w:pPr>
          </w:p>
        </w:tc>
        <w:tc>
          <w:tcPr>
            <w:tcW w:w="1013"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JXB-RLFYSQ-202404/03</w:t>
            </w:r>
          </w:p>
        </w:tc>
        <w:tc>
          <w:tcPr>
            <w:tcW w:w="1268" w:type="dxa"/>
            <w:shd w:val="clear" w:color="000000" w:fill="FFFFFF"/>
            <w:vAlign w:val="center"/>
          </w:tcPr>
          <w:p>
            <w:pPr>
              <w:widowControl/>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2024-6-15</w:t>
            </w:r>
          </w:p>
        </w:tc>
        <w:tc>
          <w:tcPr>
            <w:tcW w:w="1109" w:type="dxa"/>
            <w:shd w:val="clear" w:color="000000" w:fill="FFFFFF"/>
            <w:vAlign w:val="center"/>
          </w:tcPr>
          <w:p>
            <w:pPr>
              <w:widowControl/>
              <w:jc w:val="center"/>
              <w:rPr>
                <w:rFonts w:ascii="宋体" w:hAnsi="宋体" w:eastAsia="宋体" w:cs="宋体"/>
                <w:color w:val="000000"/>
                <w:sz w:val="20"/>
                <w:szCs w:val="20"/>
                <w:highlight w:val="none"/>
              </w:rPr>
            </w:pPr>
          </w:p>
        </w:tc>
        <w:tc>
          <w:tcPr>
            <w:tcW w:w="1146" w:type="dxa"/>
            <w:shd w:val="clear" w:color="000000" w:fill="FFFFFF"/>
            <w:vAlign w:val="center"/>
          </w:tcPr>
          <w:p>
            <w:pPr>
              <w:widowControl/>
              <w:jc w:val="center"/>
              <w:rPr>
                <w:rFonts w:ascii="宋体" w:hAnsi="宋体" w:eastAsia="宋体" w:cs="宋体"/>
                <w:color w:val="000000"/>
                <w:sz w:val="20"/>
                <w:szCs w:val="20"/>
                <w:highlight w:val="none"/>
              </w:rPr>
            </w:pPr>
          </w:p>
        </w:tc>
        <w:tc>
          <w:tcPr>
            <w:tcW w:w="1310" w:type="dxa"/>
            <w:shd w:val="clear" w:color="000000" w:fill="FFFFFF"/>
            <w:vAlign w:val="center"/>
          </w:tcPr>
          <w:p>
            <w:pPr>
              <w:widowControl/>
              <w:jc w:val="center"/>
              <w:rPr>
                <w:rFonts w:ascii="宋体" w:hAnsi="宋体" w:eastAsia="宋体" w:cs="宋体"/>
                <w:color w:val="000000"/>
                <w:sz w:val="20"/>
                <w:szCs w:val="20"/>
                <w:highlight w:val="none"/>
              </w:rPr>
            </w:pPr>
          </w:p>
        </w:tc>
        <w:tc>
          <w:tcPr>
            <w:tcW w:w="659" w:type="dxa"/>
            <w:shd w:val="clear" w:color="000000" w:fill="FFFFFF"/>
            <w:vAlign w:val="center"/>
          </w:tcPr>
          <w:p>
            <w:pPr>
              <w:widowControl/>
              <w:jc w:val="center"/>
              <w:rPr>
                <w:rFonts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w:t>
            </w:r>
            <w:r>
              <w:rPr>
                <w:rFonts w:hint="eastAsia" w:ascii="宋体" w:hAnsi="宋体" w:eastAsia="宋体" w:cs="宋体"/>
                <w:color w:val="000000"/>
                <w:sz w:val="22"/>
                <w:highlight w:val="none"/>
                <w:lang w:val="en-US" w:eastAsia="zh-CN"/>
              </w:rPr>
              <w:t>小</w:t>
            </w:r>
            <w:r>
              <w:rPr>
                <w:rFonts w:hint="eastAsia" w:ascii="宋体" w:hAnsi="宋体" w:eastAsia="宋体" w:cs="宋体"/>
                <w:color w:val="000000"/>
                <w:sz w:val="22"/>
                <w:highlight w:val="none"/>
              </w:rPr>
              <w:t>写）</w:t>
            </w:r>
            <w:r>
              <w:rPr>
                <w:rFonts w:hint="eastAsia" w:ascii="宋体" w:hAnsi="宋体" w:eastAsia="宋体" w:cs="宋体"/>
                <w:color w:val="000000"/>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合计人民币金额（大写）</w:t>
            </w:r>
            <w:r>
              <w:rPr>
                <w:rFonts w:hint="eastAsia" w:ascii="宋体" w:hAnsi="宋体" w:eastAsia="宋体" w:cs="宋体"/>
                <w:color w:val="000000"/>
                <w:sz w:val="22"/>
                <w:highlight w:val="none"/>
                <w:lang w:eastAsia="zh-CN"/>
              </w:rPr>
              <w:t>：</w:t>
            </w:r>
            <w:bookmarkStart w:id="16" w:name="_GoBack"/>
            <w:bookmarkEnd w:id="16"/>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color w:val="000000"/>
                <w:kern w:val="0"/>
                <w:sz w:val="22"/>
                <w:highlight w:val="none"/>
                <w:lang w:eastAsia="zh-CN"/>
              </w:rPr>
            </w:pPr>
            <w:r>
              <w:rPr>
                <w:rFonts w:hint="eastAsia" w:ascii="宋体" w:hAnsi="宋体" w:eastAsia="宋体" w:cs="宋体"/>
                <w:sz w:val="22"/>
                <w:szCs w:val="24"/>
                <w:highlight w:val="none"/>
              </w:rPr>
              <w:t>1、</w:t>
            </w:r>
            <w:r>
              <w:rPr>
                <w:rFonts w:hint="eastAsia" w:ascii="宋体" w:hAnsi="宋体" w:eastAsia="宋体" w:cs="宋体"/>
                <w:sz w:val="22"/>
                <w:szCs w:val="24"/>
                <w:highlight w:val="none"/>
                <w:lang w:val="en-US" w:eastAsia="zh-CN"/>
              </w:rPr>
              <w:t>报价已包含投标项目的物资费、运杂费、保险费、装卸费、风险费、利润、税金以及合同实施过程中应预见和不可预见费用等。</w:t>
            </w:r>
            <w:r>
              <w:rPr>
                <w:rFonts w:hint="eastAsia" w:ascii="宋体" w:hAnsi="宋体" w:eastAsia="宋体" w:cs="宋体"/>
                <w:sz w:val="22"/>
                <w:szCs w:val="22"/>
                <w:highlight w:val="none"/>
              </w:rPr>
              <w:t>所有价格均应以人民币报价，含</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%税率的增值税专用发票，金额单位为元</w:t>
            </w:r>
            <w:r>
              <w:rPr>
                <w:rFonts w:hint="eastAsia" w:ascii="宋体" w:hAnsi="宋体" w:eastAsia="宋体" w:cs="宋体"/>
                <w:sz w:val="22"/>
                <w:szCs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default" w:ascii="宋体" w:hAnsi="宋体" w:eastAsia="宋体" w:cs="宋体"/>
                <w:sz w:val="22"/>
                <w:szCs w:val="24"/>
                <w:highlight w:val="none"/>
                <w:lang w:val="en-US" w:eastAsia="zh-CN"/>
              </w:rPr>
            </w:pPr>
            <w:r>
              <w:rPr>
                <w:rFonts w:hint="eastAsia" w:ascii="宋体" w:hAnsi="宋体" w:eastAsia="宋体" w:cs="宋体"/>
                <w:sz w:val="22"/>
                <w:szCs w:val="24"/>
                <w:highlight w:val="none"/>
                <w:lang w:val="en-GB"/>
              </w:rPr>
              <w:t>2、</w:t>
            </w:r>
            <w:r>
              <w:rPr>
                <w:rFonts w:hint="eastAsia" w:ascii="宋体" w:hAnsi="宋体" w:eastAsia="宋体" w:cs="宋体"/>
                <w:sz w:val="22"/>
                <w:szCs w:val="24"/>
                <w:highlight w:val="none"/>
                <w:lang w:val="en-US" w:eastAsia="zh-CN"/>
              </w:rPr>
              <w:t>付款方式：</w:t>
            </w:r>
            <w:r>
              <w:rPr>
                <w:rFonts w:hint="eastAsia" w:ascii="宋体" w:hAnsi="宋体" w:eastAsia="宋体" w:cs="宋体"/>
                <w:sz w:val="22"/>
                <w:szCs w:val="24"/>
                <w:highlight w:val="none"/>
                <w:lang w:val="en-GB"/>
              </w:rPr>
              <w:t>合同款2万元及以下时，货到验收合格后付款100%；合同款2-5万元时，货到验收合格后付款95%，质保金5%；合同款5万元以上时，货到验收合格后付款90%，质保金10%。合同款10万元及以下时需要安装调试的设备货到验收付款60%，调试验收合格后付款</w:t>
            </w:r>
            <w:r>
              <w:rPr>
                <w:rFonts w:hint="eastAsia" w:ascii="宋体" w:hAnsi="宋体" w:eastAsia="宋体" w:cs="宋体"/>
                <w:sz w:val="22"/>
                <w:szCs w:val="24"/>
                <w:highlight w:val="none"/>
              </w:rPr>
              <w:t>3</w:t>
            </w:r>
            <w:r>
              <w:rPr>
                <w:rFonts w:hint="eastAsia" w:ascii="宋体" w:hAnsi="宋体" w:eastAsia="宋体" w:cs="宋体"/>
                <w:sz w:val="22"/>
                <w:szCs w:val="24"/>
                <w:highlight w:val="none"/>
                <w:lang w:val="en-GB"/>
              </w:rPr>
              <w:t>0%，质保金10%</w:t>
            </w:r>
            <w:r>
              <w:rPr>
                <w:rFonts w:hint="eastAsia" w:ascii="宋体" w:hAnsi="宋体" w:eastAsia="宋体" w:cs="宋体"/>
                <w:sz w:val="22"/>
                <w:szCs w:val="24"/>
                <w:highlight w:val="none"/>
                <w:lang w:val="en-GB"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color w:val="000000"/>
                <w:kern w:val="0"/>
                <w:sz w:val="22"/>
                <w:highlight w:val="none"/>
              </w:rPr>
            </w:pPr>
            <w:r>
              <w:rPr>
                <w:rFonts w:hint="eastAsia" w:ascii="宋体" w:hAnsi="宋体" w:eastAsia="宋体" w:cs="宋体"/>
                <w:sz w:val="22"/>
                <w:szCs w:val="24"/>
                <w:highlight w:val="none"/>
              </w:rPr>
              <w:t>3、报价单合计人民币金额精确到个位（精确到元，不含小数）。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rPr>
              <w:t>4、</w:t>
            </w:r>
            <w:r>
              <w:rPr>
                <w:rFonts w:hint="eastAsia" w:ascii="宋体" w:hAnsi="宋体" w:eastAsia="宋体" w:cs="宋体"/>
                <w:sz w:val="22"/>
                <w:szCs w:val="24"/>
                <w:highlight w:val="none"/>
                <w:lang w:val="en-US" w:eastAsia="zh-CN"/>
              </w:rPr>
              <w:t>自报价之日起</w:t>
            </w:r>
            <w:r>
              <w:rPr>
                <w:rFonts w:hint="eastAsia" w:ascii="宋体" w:hAnsi="宋体" w:eastAsia="宋体" w:cs="宋体"/>
                <w:sz w:val="22"/>
                <w:szCs w:val="24"/>
                <w:highlight w:val="none"/>
              </w:rPr>
              <w:t>报价有限期限</w:t>
            </w:r>
            <w:r>
              <w:rPr>
                <w:rFonts w:hint="eastAsia" w:ascii="宋体" w:hAnsi="宋体" w:eastAsia="宋体" w:cs="宋体"/>
                <w:sz w:val="22"/>
                <w:szCs w:val="24"/>
                <w:highlight w:val="none"/>
                <w:lang w:val="en-US" w:eastAsia="zh-CN"/>
              </w:rPr>
              <w:t>为</w:t>
            </w:r>
            <w:r>
              <w:rPr>
                <w:rFonts w:hint="eastAsia" w:ascii="宋体" w:hAnsi="宋体" w:eastAsia="宋体" w:cs="宋体"/>
                <w:sz w:val="22"/>
                <w:szCs w:val="24"/>
                <w:highlight w:val="none"/>
              </w:rPr>
              <w:t>90</w:t>
            </w:r>
            <w:r>
              <w:rPr>
                <w:rFonts w:hint="eastAsia" w:ascii="宋体" w:hAnsi="宋体" w:eastAsia="宋体" w:cs="宋体"/>
                <w:sz w:val="22"/>
                <w:szCs w:val="24"/>
                <w:highlight w:val="none"/>
                <w:lang w:val="en-US" w:eastAsia="zh-CN"/>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hAnsi="宋体" w:eastAsia="宋体" w:cs="宋体"/>
                <w:sz w:val="22"/>
                <w:szCs w:val="24"/>
                <w:highlight w:val="none"/>
              </w:rPr>
            </w:pPr>
            <w:r>
              <w:rPr>
                <w:rFonts w:hint="eastAsia" w:ascii="宋体" w:hAnsi="宋体" w:eastAsia="宋体" w:cs="宋体"/>
                <w:sz w:val="22"/>
                <w:szCs w:val="24"/>
                <w:highlight w:val="none"/>
              </w:rPr>
              <w:t>5、如与招标要求有差异，请在报价单备注中标明。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6" w:hRule="atLeast"/>
          <w:jc w:val="center"/>
        </w:trPr>
        <w:tc>
          <w:tcPr>
            <w:tcW w:w="1089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6、交货地点：</w:t>
            </w:r>
            <w:r>
              <w:rPr>
                <w:rFonts w:hint="eastAsia" w:ascii="宋体" w:hAnsi="宋体" w:eastAsia="宋体" w:cs="宋体"/>
                <w:sz w:val="22"/>
                <w:szCs w:val="24"/>
                <w:highlight w:val="none"/>
                <w:lang w:val="en-GB"/>
              </w:rPr>
              <w:t>广东省陆丰市湖东镇宝丽华甲湖湾能源基地</w:t>
            </w:r>
            <w:r>
              <w:rPr>
                <w:rFonts w:hint="eastAsia" w:ascii="宋体" w:hAnsi="宋体" w:eastAsia="宋体" w:cs="宋体"/>
                <w:sz w:val="22"/>
                <w:szCs w:val="24"/>
                <w:highlight w:val="none"/>
                <w:lang w:val="en-GB" w:eastAsia="zh-CN"/>
              </w:rPr>
              <w:t>。</w:t>
            </w:r>
            <w:r>
              <w:rPr>
                <w:rFonts w:hint="eastAsia" w:ascii="宋体" w:hAnsi="宋体" w:eastAsia="宋体" w:cs="宋体"/>
                <w:sz w:val="22"/>
                <w:szCs w:val="24"/>
                <w:highlight w:val="none"/>
                <w:lang w:val="en-GB"/>
              </w:rPr>
              <w:t>（具体卸货地点由</w:t>
            </w:r>
            <w:r>
              <w:rPr>
                <w:rFonts w:hint="eastAsia" w:ascii="宋体" w:hAnsi="宋体" w:eastAsia="宋体" w:cs="宋体"/>
                <w:sz w:val="22"/>
                <w:szCs w:val="24"/>
                <w:highlight w:val="none"/>
                <w:lang w:val="en-US" w:eastAsia="zh-CN"/>
              </w:rPr>
              <w:t>招标</w:t>
            </w:r>
            <w:r>
              <w:rPr>
                <w:rFonts w:hint="eastAsia" w:ascii="宋体" w:hAnsi="宋体" w:eastAsia="宋体" w:cs="宋体"/>
                <w:sz w:val="22"/>
                <w:szCs w:val="24"/>
                <w:highlight w:val="none"/>
                <w:lang w:val="en-GB"/>
              </w:rPr>
              <w:t>方指定）</w:t>
            </w:r>
          </w:p>
        </w:tc>
      </w:tr>
    </w:tbl>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eastAsia="宋体" w:cs="宋体"/>
          <w:sz w:val="28"/>
          <w:szCs w:val="32"/>
          <w:highlight w:val="none"/>
        </w:rPr>
      </w:pPr>
      <w:r>
        <w:rPr>
          <w:rFonts w:hint="eastAsia" w:ascii="宋体" w:hAnsi="宋体" w:eastAsia="宋体" w:cs="宋体"/>
          <w:sz w:val="22"/>
          <w:szCs w:val="22"/>
          <w:highlight w:val="none"/>
        </w:rPr>
        <w:t>招标方：陆丰宝丽华新能源电力有限公司</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rPr>
      </w:pPr>
      <w:r>
        <w:rPr>
          <w:rFonts w:hint="eastAsia" w:ascii="宋体" w:hAnsi="宋体" w:eastAsia="宋体" w:cs="宋体"/>
          <w:sz w:val="22"/>
          <w:szCs w:val="24"/>
          <w:highlight w:val="none"/>
        </w:rPr>
        <w:t>投标方（盖公章）：</w:t>
      </w:r>
      <w:r>
        <w:rPr>
          <w:rFonts w:hint="eastAsia" w:ascii="宋体" w:hAnsi="宋体" w:eastAsia="宋体" w:cs="宋体"/>
          <w:sz w:val="22"/>
          <w:szCs w:val="24"/>
          <w:highlight w:val="none"/>
          <w:u w:val="single"/>
        </w:rPr>
        <w:t xml:space="preserve">                   </w:t>
      </w:r>
      <w:r>
        <w:rPr>
          <w:rFonts w:hint="eastAsia" w:ascii="宋体" w:hAnsi="宋体" w:eastAsia="宋体" w:cs="宋体"/>
          <w:sz w:val="22"/>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highlight w:val="none"/>
          <w:u w:val="none"/>
        </w:rPr>
      </w:pPr>
      <w:r>
        <w:rPr>
          <w:rFonts w:hint="eastAsia" w:ascii="宋体" w:hAnsi="宋体" w:eastAsia="宋体" w:cs="宋体"/>
          <w:sz w:val="22"/>
          <w:szCs w:val="24"/>
          <w:highlight w:val="none"/>
        </w:rPr>
        <w:t>报价日期：</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年</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月</w:t>
      </w:r>
      <w:r>
        <w:rPr>
          <w:rFonts w:hint="eastAsia" w:ascii="宋体" w:hAnsi="宋体" w:eastAsia="宋体" w:cs="宋体"/>
          <w:sz w:val="22"/>
          <w:szCs w:val="24"/>
          <w:highlight w:val="none"/>
          <w:u w:val="none"/>
          <w:lang w:val="en-US" w:eastAsia="zh-CN"/>
        </w:rPr>
        <w:t xml:space="preserve">   </w:t>
      </w:r>
      <w:r>
        <w:rPr>
          <w:rFonts w:hint="eastAsia" w:ascii="宋体" w:hAnsi="宋体" w:eastAsia="宋体" w:cs="宋体"/>
          <w:sz w:val="22"/>
          <w:szCs w:val="24"/>
          <w:highlight w:val="none"/>
          <w:u w:val="none"/>
        </w:rPr>
        <w:t>日</w:t>
      </w: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keepLines/>
        <w:spacing w:line="360" w:lineRule="auto"/>
        <w:jc w:val="center"/>
        <w:outlineLvl w:val="1"/>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pPr>
    </w:p>
    <w:p>
      <w:pPr>
        <w:spacing w:before="156" w:beforeLines="50" w:line="520" w:lineRule="exact"/>
        <w:jc w:val="center"/>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15" w:name="_Hlk42010658"/>
      <w:r>
        <w:rPr>
          <w:rFonts w:hint="eastAsia" w:ascii="宋体" w:hAnsi="宋体" w:cs="宋体"/>
          <w:b/>
          <w:bCs/>
          <w:color w:val="000000" w:themeColor="text1"/>
          <w:sz w:val="32"/>
          <w:szCs w:val="32"/>
          <w:highlight w:val="none"/>
          <w14:textFill>
            <w14:solidFill>
              <w14:schemeClr w14:val="tx1"/>
            </w14:solidFill>
          </w14:textFill>
        </w:rPr>
        <w:t>报名</w:t>
      </w:r>
      <w:r>
        <w:rPr>
          <w:rFonts w:hint="eastAsia" w:ascii="宋体" w:hAnsi="宋体" w:cs="宋体"/>
          <w:b/>
          <w:bCs/>
          <w:color w:val="000000" w:themeColor="text1"/>
          <w:sz w:val="32"/>
          <w:szCs w:val="32"/>
          <w:highlight w:val="none"/>
          <w:lang w:val="en-US" w:eastAsia="zh-CN"/>
          <w14:textFill>
            <w14:solidFill>
              <w14:schemeClr w14:val="tx1"/>
            </w14:solidFill>
          </w14:textFill>
        </w:rPr>
        <w:t>资格</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en-US" w:eastAsia="zh-CN"/>
          <w14:textFill>
            <w14:solidFill>
              <w14:schemeClr w14:val="tx1"/>
            </w14:solidFill>
          </w14:textFill>
        </w:rPr>
        <w:t>表</w:t>
      </w:r>
    </w:p>
    <w:tbl>
      <w:tblPr>
        <w:tblStyle w:val="45"/>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8"/>
        <w:gridCol w:w="4336"/>
        <w:gridCol w:w="1924"/>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5"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序号</w:t>
            </w:r>
          </w:p>
        </w:tc>
        <w:tc>
          <w:tcPr>
            <w:tcW w:w="2348" w:type="pct"/>
            <w:vAlign w:val="center"/>
          </w:tcPr>
          <w:p>
            <w:pPr>
              <w:snapToGrid w:val="0"/>
              <w:spacing w:line="264" w:lineRule="auto"/>
              <w:jc w:val="center"/>
              <w:rPr>
                <w:rFonts w:ascii="宋体" w:hAnsi="宋体"/>
                <w:b/>
                <w:szCs w:val="21"/>
                <w:highlight w:val="none"/>
              </w:rPr>
            </w:pPr>
            <w:r>
              <w:rPr>
                <w:rFonts w:hint="eastAsia" w:ascii="宋体" w:hAnsi="宋体" w:cs="宋体"/>
                <w:b/>
                <w:szCs w:val="21"/>
                <w:highlight w:val="none"/>
              </w:rPr>
              <w:t>评审因素</w:t>
            </w:r>
          </w:p>
        </w:tc>
        <w:tc>
          <w:tcPr>
            <w:tcW w:w="1042" w:type="pct"/>
            <w:vAlign w:val="center"/>
          </w:tcPr>
          <w:p>
            <w:pPr>
              <w:snapToGrid w:val="0"/>
              <w:spacing w:line="264" w:lineRule="auto"/>
              <w:jc w:val="center"/>
              <w:rPr>
                <w:rFonts w:ascii="宋体" w:hAnsi="宋体"/>
                <w:b/>
                <w:szCs w:val="21"/>
                <w:highlight w:val="none"/>
              </w:rPr>
            </w:pPr>
            <w:r>
              <w:rPr>
                <w:rFonts w:hint="eastAsia" w:ascii="宋体" w:hAnsi="宋体"/>
                <w:b/>
                <w:szCs w:val="21"/>
                <w:highlight w:val="none"/>
              </w:rPr>
              <w:t>提交内容</w:t>
            </w:r>
          </w:p>
        </w:tc>
        <w:tc>
          <w:tcPr>
            <w:tcW w:w="1333" w:type="pct"/>
            <w:vAlign w:val="center"/>
          </w:tcPr>
          <w:p>
            <w:pPr>
              <w:spacing w:before="156" w:beforeLines="50" w:line="360" w:lineRule="auto"/>
              <w:ind w:left="-78" w:leftChars="-37" w:right="-80" w:rightChars="-38"/>
              <w:jc w:val="center"/>
              <w:rPr>
                <w:rFonts w:ascii="宋体" w:hAnsi="宋体"/>
                <w:b/>
                <w:szCs w:val="21"/>
                <w:highlight w:val="none"/>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highlight w:val="none"/>
              </w:rPr>
            </w:pPr>
            <w:r>
              <w:rPr>
                <w:rFonts w:hint="eastAsia" w:ascii="宋体" w:hAnsi="宋体"/>
                <w:b/>
                <w:bCs/>
                <w:szCs w:val="21"/>
                <w:highlight w:val="none"/>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szCs w:val="21"/>
                <w:highlight w:val="none"/>
              </w:rPr>
            </w:pPr>
            <w:r>
              <w:rPr>
                <w:rFonts w:hint="eastAsia" w:ascii="宋体" w:hAnsi="宋体" w:cs="宋体"/>
                <w:szCs w:val="21"/>
                <w:highlight w:val="none"/>
              </w:rPr>
              <w:t>具有独立承担民事责任的在中华人民共和国境内注册的法人或其他组织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提供有效的营业执照</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ascii="宋体" w:hAnsi="宋体" w:cs="宋体"/>
                <w:kern w:val="0"/>
                <w:szCs w:val="21"/>
                <w:highlight w:val="none"/>
              </w:rPr>
            </w:pPr>
            <w:r>
              <w:rPr>
                <w:rFonts w:hint="eastAsia" w:ascii="宋体" w:hAnsi="宋体" w:cs="宋体"/>
                <w:kern w:val="0"/>
                <w:szCs w:val="21"/>
                <w:highlight w:val="none"/>
              </w:rPr>
              <w:t>单位负责人为同一人或者存在控股、管理关系的不同单位，不得参加同一标段投标或者未划分标段的同一招标项目投标。</w:t>
            </w:r>
          </w:p>
        </w:tc>
        <w:tc>
          <w:tcPr>
            <w:tcW w:w="1042" w:type="pct"/>
            <w:vAlign w:val="center"/>
          </w:tcPr>
          <w:p>
            <w:pPr>
              <w:snapToGrid w:val="0"/>
              <w:spacing w:line="264" w:lineRule="auto"/>
              <w:jc w:val="center"/>
              <w:rPr>
                <w:rFonts w:ascii="宋体" w:hAnsi="宋体" w:cs="宋体"/>
                <w:kern w:val="0"/>
                <w:szCs w:val="21"/>
                <w:highlight w:val="none"/>
              </w:rPr>
            </w:pPr>
            <w:r>
              <w:rPr>
                <w:rFonts w:hint="eastAsia" w:ascii="宋体" w:hAnsi="宋体" w:cs="宋体"/>
                <w:kern w:val="0"/>
                <w:szCs w:val="21"/>
                <w:highlight w:val="none"/>
              </w:rPr>
              <w:t>提供承诺函，格式详见附件</w:t>
            </w:r>
          </w:p>
        </w:tc>
        <w:tc>
          <w:tcPr>
            <w:tcW w:w="1333" w:type="pct"/>
            <w:vAlign w:val="center"/>
          </w:tcPr>
          <w:p>
            <w:pPr>
              <w:snapToGrid w:val="0"/>
              <w:spacing w:line="264" w:lineRule="auto"/>
              <w:jc w:val="center"/>
              <w:rPr>
                <w:rFonts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szCs w:val="21"/>
                <w:highlight w:val="none"/>
                <w:lang w:eastAsia="zh-CN"/>
              </w:rPr>
            </w:pP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highlight w:val="none"/>
                <w:shd w:val="clear" w:color="auto" w:fill="FFFFFF" w:themeFill="background1"/>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cs="宋体"/>
                <w:kern w:val="0"/>
                <w:szCs w:val="21"/>
                <w:highlight w:val="none"/>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highlight w:val="none"/>
                <w:shd w:val="clear" w:color="auto" w:fill="FFFFFF" w:themeFill="background1"/>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t>格式详见附件</w:t>
            </w:r>
          </w:p>
        </w:tc>
        <w:tc>
          <w:tcPr>
            <w:tcW w:w="1333" w:type="pct"/>
            <w:vAlign w:val="center"/>
          </w:tcPr>
          <w:p>
            <w:pPr>
              <w:snapToGrid w:val="0"/>
              <w:spacing w:line="264"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报名供应商须提供缴纳本项目投标保证金凭证</w:t>
            </w:r>
            <w:r>
              <w:rPr>
                <w:rFonts w:hint="eastAsia" w:ascii="宋体" w:hAnsi="宋体" w:cs="宋体"/>
                <w:b/>
                <w:color w:val="000000" w:themeColor="text1"/>
                <w:kern w:val="0"/>
                <w:szCs w:val="21"/>
                <w:highlight w:val="none"/>
                <w:lang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r>
              <w:rPr>
                <w:rFonts w:hint="eastAsia" w:ascii="宋体" w:hAnsi="宋体"/>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24"/>
              </w:numPr>
              <w:adjustRightInd w:val="0"/>
              <w:snapToGrid w:val="0"/>
              <w:spacing w:line="264" w:lineRule="auto"/>
              <w:textAlignment w:val="baseline"/>
              <w:rPr>
                <w:rFonts w:ascii="宋体" w:hAnsi="宋体"/>
                <w:szCs w:val="21"/>
                <w:highlight w:val="none"/>
              </w:rPr>
            </w:pPr>
          </w:p>
        </w:tc>
        <w:tc>
          <w:tcPr>
            <w:tcW w:w="2348" w:type="pct"/>
            <w:vAlign w:val="center"/>
          </w:tcPr>
          <w:p>
            <w:pPr>
              <w:snapToGrid w:val="0"/>
              <w:spacing w:line="264" w:lineRule="auto"/>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w:t>
            </w:r>
          </w:p>
        </w:tc>
        <w:tc>
          <w:tcPr>
            <w:tcW w:w="1042" w:type="pct"/>
            <w:vAlign w:val="center"/>
          </w:tcPr>
          <w:p>
            <w:pPr>
              <w:snapToGrid w:val="0"/>
              <w:spacing w:line="264" w:lineRule="auto"/>
              <w:jc w:val="center"/>
              <w:rPr>
                <w:rFonts w:hint="eastAsia" w:ascii="宋体" w:hAnsi="宋体" w:eastAsia="宋体" w:cs="宋体"/>
                <w:b/>
                <w:bCs w:val="0"/>
                <w:color w:val="000000" w:themeColor="text1"/>
                <w:kern w:val="0"/>
                <w:szCs w:val="21"/>
                <w:highlight w:val="none"/>
                <w:shd w:val="clear" w:color="auto" w:fill="FFFFFF" w:themeFill="background1"/>
                <w14:textFill>
                  <w14:solidFill>
                    <w14:schemeClr w14:val="tx1"/>
                  </w14:solidFill>
                </w14:textFill>
              </w:rPr>
            </w:pPr>
          </w:p>
        </w:tc>
        <w:tc>
          <w:tcPr>
            <w:tcW w:w="1333" w:type="pct"/>
            <w:vAlign w:val="center"/>
          </w:tcPr>
          <w:p>
            <w:pPr>
              <w:snapToGrid w:val="0"/>
              <w:spacing w:line="264" w:lineRule="auto"/>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注：按照综合评审公告要求提供</w:t>
            </w:r>
          </w:p>
        </w:tc>
      </w:tr>
    </w:tbl>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综合评分响应表</w:t>
      </w:r>
    </w:p>
    <w:bookmarkEnd w:id="15"/>
    <w:tbl>
      <w:tblPr>
        <w:tblStyle w:val="4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49"/>
        <w:gridCol w:w="2087"/>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blHeader/>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default"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响应情况</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证明</w:t>
            </w:r>
            <w:r>
              <w:rPr>
                <w:rFonts w:hint="eastAsia" w:ascii="宋体" w:hAnsi="宋体" w:cs="宋体"/>
                <w:b/>
                <w:color w:val="000000" w:themeColor="text1"/>
                <w:szCs w:val="21"/>
                <w:highlight w:val="none"/>
                <w14:textFill>
                  <w14:solidFill>
                    <w14:schemeClr w14:val="tx1"/>
                  </w14:solidFill>
                </w14:textFill>
              </w:rPr>
              <w:t>文件</w:t>
            </w:r>
          </w:p>
          <w:p>
            <w:pPr>
              <w:spacing w:before="156" w:beforeLines="50" w:line="360" w:lineRule="auto"/>
              <w:ind w:left="-78" w:leftChars="-37" w:right="-80" w:rightChars="-38"/>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所在</w:t>
            </w:r>
            <w:r>
              <w:rPr>
                <w:rFonts w:hint="eastAsia" w:ascii="宋体" w:hAnsi="宋体" w:cs="宋体"/>
                <w:b/>
                <w:color w:val="000000" w:themeColor="text1"/>
                <w:szCs w:val="21"/>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w:t>
            </w:r>
          </w:p>
        </w:tc>
        <w:tc>
          <w:tcPr>
            <w:tcW w:w="3649"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质量保证措施</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p>
        </w:tc>
        <w:tc>
          <w:tcPr>
            <w:tcW w:w="3649"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售后服务</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供货服务方案</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w:t>
            </w:r>
          </w:p>
        </w:tc>
        <w:tc>
          <w:tcPr>
            <w:tcW w:w="3649"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highlight w:val="none"/>
              </w:rPr>
            </w:pPr>
            <w:r>
              <w:rPr>
                <w:rFonts w:hint="eastAsia" w:ascii="宋体" w:hAnsi="宋体" w:cs="宋体"/>
                <w:color w:val="000000"/>
                <w:szCs w:val="21"/>
                <w:highlight w:val="none"/>
              </w:rPr>
              <w:t>管理体系认证</w:t>
            </w:r>
          </w:p>
          <w:p>
            <w:pPr>
              <w:ind w:left="-63" w:leftChars="-30" w:right="-88" w:rightChars="-42"/>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szCs w:val="21"/>
                <w:highlight w:val="none"/>
              </w:rPr>
              <w:t>（提供有效的证书复印件加盖公章）</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p>
        </w:tc>
        <w:tc>
          <w:tcPr>
            <w:tcW w:w="364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审计报告</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w:t>
            </w:r>
          </w:p>
        </w:tc>
        <w:tc>
          <w:tcPr>
            <w:tcW w:w="3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highlight w:val="none"/>
                <w:lang w:val="en-GB"/>
                <w14:textFill>
                  <w14:solidFill>
                    <w14:schemeClr w14:val="tx1"/>
                  </w14:solidFill>
                </w14:textFill>
              </w:rPr>
            </w:pPr>
            <w:r>
              <w:rPr>
                <w:rFonts w:hint="eastAsia" w:ascii="宋体" w:hAnsi="宋体"/>
                <w:szCs w:val="21"/>
                <w:highlight w:val="none"/>
              </w:rPr>
              <w:t>第（ ）页-（ ）页</w:t>
            </w:r>
          </w:p>
        </w:tc>
      </w:tr>
    </w:tbl>
    <w:p>
      <w:pPr>
        <w:spacing w:before="156" w:beforeLines="50" w:line="360" w:lineRule="auto"/>
        <w:rPr>
          <w:rFonts w:ascii="宋体" w:hAnsi="宋体" w:cs="宋体"/>
          <w:b/>
          <w:color w:val="000000" w:themeColor="text1"/>
          <w:szCs w:val="21"/>
          <w:highlight w:val="none"/>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投标人提供的证明材料如为复印件每页加盖公章。未提供相关证明材料的，将影响评委对其投标文件的评分。</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5"/>
        </w:numPr>
        <w:spacing w:before="156" w:beforeLines="5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本表中</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与“第四章评分标准”中的</w:t>
      </w:r>
      <w:r>
        <w:rPr>
          <w:rFonts w:hint="eastAsia" w:ascii="宋体" w:hAnsi="宋体" w:cs="宋体"/>
          <w:b/>
          <w:color w:val="000000" w:themeColor="text1"/>
          <w:szCs w:val="21"/>
          <w:highlight w:val="none"/>
          <w14:textFill>
            <w14:solidFill>
              <w14:schemeClr w14:val="tx1"/>
            </w14:solidFill>
          </w14:textFill>
        </w:rPr>
        <w:t>评审因素</w:t>
      </w:r>
      <w:r>
        <w:rPr>
          <w:rFonts w:hint="eastAsia" w:ascii="宋体" w:hAnsi="宋体" w:cs="宋体"/>
          <w:b/>
          <w:color w:val="000000" w:themeColor="text1"/>
          <w:szCs w:val="21"/>
          <w:highlight w:val="none"/>
          <w:lang w:val="en-US" w:eastAsia="zh-CN"/>
          <w14:textFill>
            <w14:solidFill>
              <w14:schemeClr w14:val="tx1"/>
            </w14:solidFill>
          </w14:textFill>
        </w:rPr>
        <w:t>描述不一致的，以“第四章评分标准”的为准。</w:t>
      </w:r>
    </w:p>
    <w:p>
      <w:pPr>
        <w:pStyle w:val="2"/>
        <w:numPr>
          <w:ilvl w:val="0"/>
          <w:numId w:val="0"/>
        </w:numPr>
        <w:ind w:leftChars="200"/>
        <w:rPr>
          <w:highlight w:val="none"/>
        </w:rPr>
      </w:pPr>
    </w:p>
    <w:p>
      <w:pPr>
        <w:spacing w:line="360" w:lineRule="auto"/>
        <w:ind w:left="315"/>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color w:val="000000" w:themeColor="text1"/>
          <w:spacing w:val="4"/>
          <w:szCs w:val="21"/>
          <w:highlight w:val="none"/>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highlight w:val="none"/>
          <w:shd w:val="clear" w:color="auto" w:fill="FFFFFF" w:themeFill="background1"/>
          <w14:textFill>
            <w14:solidFill>
              <w14:schemeClr w14:val="tx1"/>
            </w14:solidFill>
          </w14:textFill>
        </w:rPr>
      </w:pPr>
      <w:r>
        <w:rPr>
          <w:rFonts w:hint="eastAsia" w:ascii="宋体" w:hAnsi="宋体" w:cs="宋体"/>
          <w:b/>
          <w:color w:val="000000" w:themeColor="text1"/>
          <w:sz w:val="32"/>
          <w:szCs w:val="32"/>
          <w:highlight w:val="none"/>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highlight w:val="none"/>
          <w:shd w:val="clear" w:color="auto" w:fill="FFFFFF" w:themeFill="background1"/>
          <w14:textFill>
            <w14:solidFill>
              <w14:schemeClr w14:val="tx1"/>
            </w14:solidFill>
          </w14:textFill>
        </w:rPr>
      </w:pPr>
      <w:r>
        <w:rPr>
          <w:rFonts w:hint="eastAsia" w:ascii="宋体" w:hAnsi="宋体" w:cs="宋体"/>
          <w:b/>
          <w:color w:val="000000" w:themeColor="text1"/>
          <w:highlight w:val="none"/>
          <w:shd w:val="clear" w:color="auto" w:fill="FFFFFF" w:themeFill="background1"/>
          <w14:textFill>
            <w14:solidFill>
              <w14:schemeClr w14:val="tx1"/>
            </w14:solidFill>
          </w14:textFill>
        </w:rPr>
        <w:t>致</w:t>
      </w:r>
      <w:r>
        <w:rPr>
          <w:rFonts w:hint="eastAsia" w:ascii="宋体" w:hAnsi="宋体" w:cs="宋体"/>
          <w:b/>
          <w:color w:val="000000" w:themeColor="text1"/>
          <w:highlight w:val="none"/>
          <w:shd w:val="clear" w:color="auto" w:fill="FFFFFF" w:themeFill="background1"/>
          <w:lang w:eastAsia="zh-CN"/>
          <w14:textFill>
            <w14:solidFill>
              <w14:schemeClr w14:val="tx1"/>
            </w14:solidFill>
          </w14:textFill>
        </w:rPr>
        <w:t>：</w:t>
      </w:r>
      <w:r>
        <w:rPr>
          <w:rFonts w:hint="eastAsia" w:ascii="宋体" w:hAnsi="宋体" w:cs="宋体"/>
          <w:b/>
          <w:color w:val="000000" w:themeColor="text1"/>
          <w:highlight w:val="none"/>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highlight w:val="none"/>
          <w:u w:val="single"/>
          <w:shd w:val="clear" w:color="auto" w:fill="FFFFFF" w:themeFill="background1"/>
          <w:lang w:eastAsia="zh-CN"/>
          <w14:textFill>
            <w14:solidFill>
              <w14:schemeClr w14:val="tx1"/>
            </w14:solidFill>
          </w14:textFill>
        </w:rPr>
        <w:t>陆丰甲湖湾电厂给料机弹簧采购项目</w:t>
      </w:r>
      <w:r>
        <w:rPr>
          <w:rFonts w:hint="eastAsia" w:ascii="宋体" w:hAnsi="宋体" w:cs="宋体"/>
          <w:b/>
          <w:color w:val="000000" w:themeColor="text1"/>
          <w:highlight w:val="none"/>
          <w:u w:val="single"/>
          <w:shd w:val="clear" w:color="auto" w:fill="FFFFFF" w:themeFill="background1"/>
          <w14:textFill>
            <w14:solidFill>
              <w14:schemeClr w14:val="tx1"/>
            </w14:solidFill>
          </w14:textFill>
        </w:rPr>
        <w:t>、</w:t>
      </w:r>
      <w:r>
        <w:rPr>
          <w:rFonts w:hint="eastAsia" w:ascii="宋体" w:hAnsi="宋体" w:cs="宋体"/>
          <w:b/>
          <w:color w:val="000000" w:themeColor="text1"/>
          <w:highlight w:val="none"/>
          <w:u w:val="single"/>
          <w:shd w:val="clear" w:color="auto" w:fill="FFFFFF" w:themeFill="background1"/>
          <w:lang w:eastAsia="zh-CN"/>
          <w14:textFill>
            <w14:solidFill>
              <w14:schemeClr w14:val="tx1"/>
            </w14:solidFill>
          </w14:textFill>
        </w:rPr>
        <w:t>JHWWZ-20240417-18(CH-SWJHW2024-021)</w:t>
      </w:r>
      <w:r>
        <w:rPr>
          <w:rFonts w:hint="eastAsia" w:ascii="宋体" w:hAnsi="宋体" w:cs="宋体"/>
          <w:b/>
          <w:bCs/>
          <w:color w:val="000000" w:themeColor="text1"/>
          <w:szCs w:val="21"/>
          <w:highlight w:val="none"/>
          <w:u w:val="single"/>
          <w:shd w:val="clear" w:color="auto" w:fill="FFFFFF" w:themeFill="background1"/>
          <w14:textFill>
            <w14:solidFill>
              <w14:schemeClr w14:val="tx1"/>
            </w14:solidFill>
          </w14:textFill>
        </w:rPr>
        <w:t>》</w:t>
      </w:r>
      <w:r>
        <w:rPr>
          <w:rFonts w:hint="eastAsia" w:ascii="宋体" w:hAnsi="宋体" w:cs="宋体"/>
          <w:color w:val="000000" w:themeColor="text1"/>
          <w:szCs w:val="21"/>
          <w:highlight w:val="none"/>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highlight w:val="none"/>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highlight w:val="none"/>
          <w:shd w:val="clear" w:color="auto" w:fill="FFFFFF" w:themeFill="background1"/>
          <w14:textFill>
            <w14:solidFill>
              <w14:schemeClr w14:val="tx1"/>
            </w14:solidFill>
          </w14:textFill>
        </w:rPr>
        <w:t>，特此申请！</w:t>
      </w:r>
    </w:p>
    <w:p>
      <w:pPr>
        <w:pStyle w:val="2"/>
        <w:rPr>
          <w:rFonts w:ascii="宋体" w:hAnsi="宋体" w:cs="宋体"/>
          <w:color w:val="000000" w:themeColor="text1"/>
          <w:highlight w:val="none"/>
          <w:shd w:val="clear" w:color="auto" w:fill="FFFFFF" w:themeFill="background1"/>
          <w14:textFill>
            <w14:solidFill>
              <w14:schemeClr w14:val="tx1"/>
            </w14:solidFill>
          </w14:textFill>
        </w:rPr>
      </w:pP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投标单位：</w:t>
      </w:r>
    </w:p>
    <w:p>
      <w:pPr>
        <w:pStyle w:val="2"/>
        <w:ind w:firstLine="0"/>
        <w:rPr>
          <w:rFonts w:ascii="宋体" w:hAnsi="宋体" w:cs="宋体"/>
          <w:color w:val="000000" w:themeColor="text1"/>
          <w:kern w:val="2"/>
          <w:sz w:val="21"/>
          <w:szCs w:val="24"/>
          <w:highlight w:val="none"/>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highlight w:val="none"/>
          <w:shd w:val="clear" w:color="auto" w:fill="FFFFFF" w:themeFill="background1"/>
          <w14:textFill>
            <w14:solidFill>
              <w14:schemeClr w14:val="tx1"/>
            </w14:solidFill>
          </w14:textFill>
        </w:rPr>
        <w:t>日期：</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 xml:space="preserve">   </w:t>
      </w:r>
    </w:p>
    <w:p>
      <w:pPr>
        <w:pStyle w:val="2"/>
        <w:ind w:firstLine="0"/>
        <w:rPr>
          <w:rFonts w:ascii="宋体" w:hAnsi="宋体" w:cs="宋体"/>
          <w:color w:val="000000" w:themeColor="text1"/>
          <w:highlight w:val="none"/>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退款账户：</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开户银行</w:t>
            </w:r>
          </w:p>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sz w:val="20"/>
                <w:szCs w:val="20"/>
                <w:highlight w:val="none"/>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highlight w:val="none"/>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highlight w:val="none"/>
          <w:shd w:val="clear" w:color="auto" w:fill="FFFFFF" w:themeFill="background1"/>
          <w14:textFill>
            <w14:solidFill>
              <w14:schemeClr w14:val="tx1"/>
            </w14:solidFill>
          </w14:textFill>
        </w:rPr>
      </w:pPr>
      <w:r>
        <w:rPr>
          <w:rFonts w:hint="eastAsia" w:ascii="宋体" w:hAnsi="宋体" w:cs="宋体"/>
          <w:color w:val="000000" w:themeColor="text1"/>
          <w:highlight w:val="none"/>
          <w:shd w:val="clear" w:color="auto" w:fill="FFFFFF" w:themeFill="background1"/>
          <w14:textFill>
            <w14:solidFill>
              <w14:schemeClr w14:val="tx1"/>
            </w14:solidFill>
          </w14:textFill>
        </w:rPr>
        <w:t>备注：请附上投标保证金回执</w:t>
      </w:r>
    </w:p>
    <w:p>
      <w:pPr>
        <w:pStyle w:val="7"/>
        <w:outlineLvl w:val="9"/>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CA91"/>
    <w:multiLevelType w:val="singleLevel"/>
    <w:tmpl w:val="8E7CCA91"/>
    <w:lvl w:ilvl="0" w:tentative="0">
      <w:start w:val="1"/>
      <w:numFmt w:val="decimal"/>
      <w:suff w:val="nothing"/>
      <w:lvlText w:val="%1．"/>
      <w:lvlJc w:val="left"/>
      <w:pPr>
        <w:ind w:left="0" w:firstLine="400"/>
      </w:pPr>
      <w:rPr>
        <w:rFonts w:hint="default"/>
      </w:rPr>
    </w:lvl>
  </w:abstractNum>
  <w:abstractNum w:abstractNumId="1">
    <w:nsid w:val="EA3FBAE5"/>
    <w:multiLevelType w:val="singleLevel"/>
    <w:tmpl w:val="EA3FBAE5"/>
    <w:lvl w:ilvl="0" w:tentative="0">
      <w:start w:val="1"/>
      <w:numFmt w:val="chineseCounting"/>
      <w:suff w:val="nothing"/>
      <w:lvlText w:val="（%1）"/>
      <w:lvlJc w:val="left"/>
      <w:pPr>
        <w:ind w:left="0" w:firstLine="420"/>
      </w:pPr>
      <w:rPr>
        <w:rFonts w:hint="eastAsia"/>
      </w:rPr>
    </w:lvl>
  </w:abstractNum>
  <w:abstractNum w:abstractNumId="2">
    <w:nsid w:val="ECEA450D"/>
    <w:multiLevelType w:val="singleLevel"/>
    <w:tmpl w:val="ECEA450D"/>
    <w:lvl w:ilvl="0" w:tentative="0">
      <w:start w:val="1"/>
      <w:numFmt w:val="chineseCounting"/>
      <w:suff w:val="nothing"/>
      <w:lvlText w:val="%1、"/>
      <w:lvlJc w:val="left"/>
      <w:rPr>
        <w:rFonts w:hint="eastAsia"/>
      </w:rPr>
    </w:lvl>
  </w:abstractNum>
  <w:abstractNum w:abstractNumId="3">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4">
    <w:nsid w:val="37AD1F03"/>
    <w:multiLevelType w:val="multilevel"/>
    <w:tmpl w:val="37AD1F03"/>
    <w:lvl w:ilvl="0" w:tentative="0">
      <w:start w:val="1"/>
      <w:numFmt w:val="chineseCountingThousand"/>
      <w:suff w:val="nothing"/>
      <w:lvlText w:val="%1、"/>
      <w:lvlJc w:val="left"/>
      <w:pPr>
        <w:ind w:left="420" w:hanging="420"/>
      </w:pPr>
      <w:rPr>
        <w:rFonts w:hint="eastAsia" w:ascii="宋体" w:hAnsi="宋体" w:eastAsia="宋体" w:cs="宋体"/>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2E2E623"/>
    <w:multiLevelType w:val="singleLevel"/>
    <w:tmpl w:val="42E2E623"/>
    <w:lvl w:ilvl="0" w:tentative="0">
      <w:start w:val="1"/>
      <w:numFmt w:val="decimal"/>
      <w:lvlText w:val="%1."/>
      <w:lvlJc w:val="left"/>
      <w:pPr>
        <w:ind w:left="425" w:hanging="425"/>
      </w:pPr>
      <w:rPr>
        <w:rFonts w:hint="default"/>
      </w:rPr>
    </w:lvl>
  </w:abstractNum>
  <w:abstractNum w:abstractNumId="18">
    <w:nsid w:val="46CA165E"/>
    <w:multiLevelType w:val="multilevel"/>
    <w:tmpl w:val="46CA165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5075A0EE"/>
    <w:multiLevelType w:val="singleLevel"/>
    <w:tmpl w:val="5075A0EE"/>
    <w:lvl w:ilvl="0" w:tentative="0">
      <w:start w:val="1"/>
      <w:numFmt w:val="decimal"/>
      <w:lvlText w:val="%1."/>
      <w:lvlJc w:val="left"/>
      <w:pPr>
        <w:ind w:left="425" w:hanging="425"/>
      </w:pPr>
      <w:rPr>
        <w:rFonts w:hint="default" w:ascii="宋体" w:hAnsi="宋体" w:eastAsia="宋体" w:cs="宋体"/>
        <w:b w:val="0"/>
        <w:bCs w:val="0"/>
        <w:sz w:val="24"/>
        <w:szCs w:val="24"/>
      </w:rPr>
    </w:lvl>
  </w:abstractNum>
  <w:abstractNum w:abstractNumId="20">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23">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15"/>
  </w:num>
  <w:num w:numId="7">
    <w:abstractNumId w:val="10"/>
  </w:num>
  <w:num w:numId="8">
    <w:abstractNumId w:val="9"/>
  </w:num>
  <w:num w:numId="9">
    <w:abstractNumId w:val="20"/>
  </w:num>
  <w:num w:numId="10">
    <w:abstractNumId w:val="5"/>
  </w:num>
  <w:num w:numId="11">
    <w:abstractNumId w:val="7"/>
  </w:num>
  <w:num w:numId="12">
    <w:abstractNumId w:val="16"/>
  </w:num>
  <w:num w:numId="13">
    <w:abstractNumId w:val="8"/>
  </w:num>
  <w:num w:numId="14">
    <w:abstractNumId w:val="11"/>
  </w:num>
  <w:num w:numId="15">
    <w:abstractNumId w:val="18"/>
  </w:num>
  <w:num w:numId="16">
    <w:abstractNumId w:val="14"/>
  </w:num>
  <w:num w:numId="17">
    <w:abstractNumId w:val="1"/>
  </w:num>
  <w:num w:numId="18">
    <w:abstractNumId w:val="0"/>
  </w:num>
  <w:num w:numId="19">
    <w:abstractNumId w:val="19"/>
  </w:num>
  <w:num w:numId="20">
    <w:abstractNumId w:val="17"/>
  </w:num>
  <w:num w:numId="21">
    <w:abstractNumId w:val="23"/>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5101BD5"/>
    <w:rsid w:val="0515763B"/>
    <w:rsid w:val="05517131"/>
    <w:rsid w:val="06B111F4"/>
    <w:rsid w:val="072208B1"/>
    <w:rsid w:val="07825460"/>
    <w:rsid w:val="078D205E"/>
    <w:rsid w:val="07BF2D32"/>
    <w:rsid w:val="07DA4CF3"/>
    <w:rsid w:val="0804601B"/>
    <w:rsid w:val="08050557"/>
    <w:rsid w:val="08107CAD"/>
    <w:rsid w:val="082C1D54"/>
    <w:rsid w:val="08815578"/>
    <w:rsid w:val="08A96A9F"/>
    <w:rsid w:val="09326A18"/>
    <w:rsid w:val="093D6D4A"/>
    <w:rsid w:val="095225FC"/>
    <w:rsid w:val="098E316D"/>
    <w:rsid w:val="09D27BC4"/>
    <w:rsid w:val="0A5731FE"/>
    <w:rsid w:val="0A722377"/>
    <w:rsid w:val="0A886720"/>
    <w:rsid w:val="0AFF65ED"/>
    <w:rsid w:val="0B380589"/>
    <w:rsid w:val="0BD90518"/>
    <w:rsid w:val="0C3109E2"/>
    <w:rsid w:val="0C9B02F1"/>
    <w:rsid w:val="0CEF622F"/>
    <w:rsid w:val="0CF16932"/>
    <w:rsid w:val="0CF74A57"/>
    <w:rsid w:val="0D2171CA"/>
    <w:rsid w:val="0D6C54A3"/>
    <w:rsid w:val="0DC24AE0"/>
    <w:rsid w:val="0E1E5735"/>
    <w:rsid w:val="0E24552D"/>
    <w:rsid w:val="0E433C45"/>
    <w:rsid w:val="0E74446E"/>
    <w:rsid w:val="0E811422"/>
    <w:rsid w:val="0E8D0293"/>
    <w:rsid w:val="0F044701"/>
    <w:rsid w:val="0F4706F2"/>
    <w:rsid w:val="0FC8730C"/>
    <w:rsid w:val="0FCE3018"/>
    <w:rsid w:val="0FFC71F4"/>
    <w:rsid w:val="10403CAC"/>
    <w:rsid w:val="109C440F"/>
    <w:rsid w:val="10D306FE"/>
    <w:rsid w:val="10F42D61"/>
    <w:rsid w:val="113F222E"/>
    <w:rsid w:val="11984F26"/>
    <w:rsid w:val="11FF6268"/>
    <w:rsid w:val="122C2F50"/>
    <w:rsid w:val="122F22A3"/>
    <w:rsid w:val="1263443E"/>
    <w:rsid w:val="126B0E01"/>
    <w:rsid w:val="13304440"/>
    <w:rsid w:val="13774FF0"/>
    <w:rsid w:val="13B87544"/>
    <w:rsid w:val="13C22E3E"/>
    <w:rsid w:val="140404F5"/>
    <w:rsid w:val="143243B0"/>
    <w:rsid w:val="1445753E"/>
    <w:rsid w:val="14533ED1"/>
    <w:rsid w:val="14787E5B"/>
    <w:rsid w:val="149928B4"/>
    <w:rsid w:val="1561591A"/>
    <w:rsid w:val="1575628B"/>
    <w:rsid w:val="15A6017A"/>
    <w:rsid w:val="15AD015F"/>
    <w:rsid w:val="15AF2C39"/>
    <w:rsid w:val="16482DDF"/>
    <w:rsid w:val="16A73A3C"/>
    <w:rsid w:val="16B36206"/>
    <w:rsid w:val="16C776CE"/>
    <w:rsid w:val="16D622A3"/>
    <w:rsid w:val="170F4451"/>
    <w:rsid w:val="17410345"/>
    <w:rsid w:val="17544559"/>
    <w:rsid w:val="17A634DC"/>
    <w:rsid w:val="17F23664"/>
    <w:rsid w:val="18A14DBB"/>
    <w:rsid w:val="18A452B1"/>
    <w:rsid w:val="19022B91"/>
    <w:rsid w:val="19312EA1"/>
    <w:rsid w:val="195532C2"/>
    <w:rsid w:val="19883702"/>
    <w:rsid w:val="19D07E41"/>
    <w:rsid w:val="1A1377FF"/>
    <w:rsid w:val="1A4F2DB6"/>
    <w:rsid w:val="1A5605E9"/>
    <w:rsid w:val="1A6F59D9"/>
    <w:rsid w:val="1AD734D7"/>
    <w:rsid w:val="1B737666"/>
    <w:rsid w:val="1B8B3A53"/>
    <w:rsid w:val="1BB304F6"/>
    <w:rsid w:val="1C6C69C8"/>
    <w:rsid w:val="1C6D4563"/>
    <w:rsid w:val="1C8D43CF"/>
    <w:rsid w:val="1CAB3164"/>
    <w:rsid w:val="1CB60DC0"/>
    <w:rsid w:val="1CC81674"/>
    <w:rsid w:val="1D285E7E"/>
    <w:rsid w:val="1D9E4F2E"/>
    <w:rsid w:val="1DCF0163"/>
    <w:rsid w:val="1E88628A"/>
    <w:rsid w:val="1EDA3E44"/>
    <w:rsid w:val="1EDC68E3"/>
    <w:rsid w:val="1F3E055C"/>
    <w:rsid w:val="1FB924EC"/>
    <w:rsid w:val="1FCB42B5"/>
    <w:rsid w:val="2024638F"/>
    <w:rsid w:val="207B274F"/>
    <w:rsid w:val="208769FF"/>
    <w:rsid w:val="20D9162C"/>
    <w:rsid w:val="211410DA"/>
    <w:rsid w:val="21156B08"/>
    <w:rsid w:val="21F11323"/>
    <w:rsid w:val="22681627"/>
    <w:rsid w:val="22E371CD"/>
    <w:rsid w:val="22E436A0"/>
    <w:rsid w:val="234C0007"/>
    <w:rsid w:val="23C01ACF"/>
    <w:rsid w:val="23C761CD"/>
    <w:rsid w:val="25B330EA"/>
    <w:rsid w:val="26053D8A"/>
    <w:rsid w:val="260E4DEE"/>
    <w:rsid w:val="262F2731"/>
    <w:rsid w:val="267F1A74"/>
    <w:rsid w:val="26FF2E18"/>
    <w:rsid w:val="27167136"/>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B43204"/>
    <w:rsid w:val="2DCA6ECC"/>
    <w:rsid w:val="2DEE38B1"/>
    <w:rsid w:val="2E3F40AE"/>
    <w:rsid w:val="2E436265"/>
    <w:rsid w:val="2E646614"/>
    <w:rsid w:val="2E6A52D0"/>
    <w:rsid w:val="2EE94A92"/>
    <w:rsid w:val="2EF75D24"/>
    <w:rsid w:val="2F031892"/>
    <w:rsid w:val="2F081555"/>
    <w:rsid w:val="2F575656"/>
    <w:rsid w:val="2FAF35B8"/>
    <w:rsid w:val="311D7312"/>
    <w:rsid w:val="31462D0D"/>
    <w:rsid w:val="317E6003"/>
    <w:rsid w:val="31BD1097"/>
    <w:rsid w:val="31C81974"/>
    <w:rsid w:val="32501EEE"/>
    <w:rsid w:val="329862C8"/>
    <w:rsid w:val="32FD26F1"/>
    <w:rsid w:val="33554C90"/>
    <w:rsid w:val="339373BA"/>
    <w:rsid w:val="34292AF2"/>
    <w:rsid w:val="346C7220"/>
    <w:rsid w:val="34BA1BD7"/>
    <w:rsid w:val="34CB4E3A"/>
    <w:rsid w:val="34DA7D7D"/>
    <w:rsid w:val="34E12653"/>
    <w:rsid w:val="35053660"/>
    <w:rsid w:val="3559714F"/>
    <w:rsid w:val="355B497F"/>
    <w:rsid w:val="358F4C83"/>
    <w:rsid w:val="359508B5"/>
    <w:rsid w:val="35AB5A5D"/>
    <w:rsid w:val="35B35222"/>
    <w:rsid w:val="364D35B7"/>
    <w:rsid w:val="3680281D"/>
    <w:rsid w:val="37623367"/>
    <w:rsid w:val="38122A67"/>
    <w:rsid w:val="3853483B"/>
    <w:rsid w:val="38580EBA"/>
    <w:rsid w:val="385D57F0"/>
    <w:rsid w:val="38742706"/>
    <w:rsid w:val="38A00F55"/>
    <w:rsid w:val="38DE01A2"/>
    <w:rsid w:val="395519AD"/>
    <w:rsid w:val="396E3D39"/>
    <w:rsid w:val="3A457B7D"/>
    <w:rsid w:val="3A904EB2"/>
    <w:rsid w:val="3AD81F39"/>
    <w:rsid w:val="3B651FE2"/>
    <w:rsid w:val="3B804F4E"/>
    <w:rsid w:val="3B9A2B7E"/>
    <w:rsid w:val="3BC75AC5"/>
    <w:rsid w:val="3BFF2436"/>
    <w:rsid w:val="3C020393"/>
    <w:rsid w:val="3CBC2D1B"/>
    <w:rsid w:val="3CC070FA"/>
    <w:rsid w:val="3D3C7852"/>
    <w:rsid w:val="3D5E3181"/>
    <w:rsid w:val="3DF11AE7"/>
    <w:rsid w:val="3E28493A"/>
    <w:rsid w:val="3E2C076A"/>
    <w:rsid w:val="3E570146"/>
    <w:rsid w:val="3E5E492B"/>
    <w:rsid w:val="3E746A30"/>
    <w:rsid w:val="3E8C11A5"/>
    <w:rsid w:val="3F764B03"/>
    <w:rsid w:val="3FA37D3C"/>
    <w:rsid w:val="4011450B"/>
    <w:rsid w:val="40220B7B"/>
    <w:rsid w:val="40632F94"/>
    <w:rsid w:val="408611D5"/>
    <w:rsid w:val="4099696A"/>
    <w:rsid w:val="40B841A9"/>
    <w:rsid w:val="410A12D0"/>
    <w:rsid w:val="41A71F66"/>
    <w:rsid w:val="423A363F"/>
    <w:rsid w:val="4368521D"/>
    <w:rsid w:val="439517F6"/>
    <w:rsid w:val="446948F1"/>
    <w:rsid w:val="44A30B7C"/>
    <w:rsid w:val="45780EDB"/>
    <w:rsid w:val="459E10FE"/>
    <w:rsid w:val="46527187"/>
    <w:rsid w:val="46DF2528"/>
    <w:rsid w:val="479839E5"/>
    <w:rsid w:val="484876D2"/>
    <w:rsid w:val="487A4038"/>
    <w:rsid w:val="48D761AC"/>
    <w:rsid w:val="48DC1981"/>
    <w:rsid w:val="48E761C8"/>
    <w:rsid w:val="490C3C6D"/>
    <w:rsid w:val="4933371F"/>
    <w:rsid w:val="49A563CB"/>
    <w:rsid w:val="4A075E3A"/>
    <w:rsid w:val="4A1E2259"/>
    <w:rsid w:val="4A337D81"/>
    <w:rsid w:val="4A60206A"/>
    <w:rsid w:val="4B1F21AD"/>
    <w:rsid w:val="4B393838"/>
    <w:rsid w:val="4BC52592"/>
    <w:rsid w:val="4C2C2128"/>
    <w:rsid w:val="4C5869AA"/>
    <w:rsid w:val="4D666AAC"/>
    <w:rsid w:val="4D8A6E86"/>
    <w:rsid w:val="4DA00C9C"/>
    <w:rsid w:val="4DD53E4B"/>
    <w:rsid w:val="4DEA1FEE"/>
    <w:rsid w:val="4DFB40F0"/>
    <w:rsid w:val="4E190181"/>
    <w:rsid w:val="4E334FF1"/>
    <w:rsid w:val="4ECE430F"/>
    <w:rsid w:val="4F297D2A"/>
    <w:rsid w:val="4F6D738A"/>
    <w:rsid w:val="4F93565E"/>
    <w:rsid w:val="4FD712A8"/>
    <w:rsid w:val="500A3A33"/>
    <w:rsid w:val="50C23D07"/>
    <w:rsid w:val="515E4097"/>
    <w:rsid w:val="51B96A71"/>
    <w:rsid w:val="51E86FDA"/>
    <w:rsid w:val="524032B0"/>
    <w:rsid w:val="52946DD7"/>
    <w:rsid w:val="52975109"/>
    <w:rsid w:val="52AF757C"/>
    <w:rsid w:val="52E0113A"/>
    <w:rsid w:val="52FC0BEB"/>
    <w:rsid w:val="538B17ED"/>
    <w:rsid w:val="54103E99"/>
    <w:rsid w:val="54501629"/>
    <w:rsid w:val="54D2238D"/>
    <w:rsid w:val="55065B3F"/>
    <w:rsid w:val="56134A12"/>
    <w:rsid w:val="562A5485"/>
    <w:rsid w:val="5670447B"/>
    <w:rsid w:val="567634F4"/>
    <w:rsid w:val="56AC7D1B"/>
    <w:rsid w:val="56E252DD"/>
    <w:rsid w:val="57454D4A"/>
    <w:rsid w:val="579F4806"/>
    <w:rsid w:val="57C73F65"/>
    <w:rsid w:val="580013FF"/>
    <w:rsid w:val="581E0006"/>
    <w:rsid w:val="59120389"/>
    <w:rsid w:val="59D15DC9"/>
    <w:rsid w:val="5A3E0127"/>
    <w:rsid w:val="5AD35D55"/>
    <w:rsid w:val="5BD06B62"/>
    <w:rsid w:val="5C002ECC"/>
    <w:rsid w:val="5C0F5289"/>
    <w:rsid w:val="5C840E64"/>
    <w:rsid w:val="5D160044"/>
    <w:rsid w:val="5D5A2D00"/>
    <w:rsid w:val="5D9931C1"/>
    <w:rsid w:val="5DDD18EF"/>
    <w:rsid w:val="5E406EFA"/>
    <w:rsid w:val="5E755DB1"/>
    <w:rsid w:val="5E8649CB"/>
    <w:rsid w:val="5E9042FC"/>
    <w:rsid w:val="5E953572"/>
    <w:rsid w:val="5E9858D6"/>
    <w:rsid w:val="5F0501CA"/>
    <w:rsid w:val="60AE1BB1"/>
    <w:rsid w:val="617B472A"/>
    <w:rsid w:val="618136AE"/>
    <w:rsid w:val="61B875E6"/>
    <w:rsid w:val="61EF1E37"/>
    <w:rsid w:val="629D0130"/>
    <w:rsid w:val="62E31BE7"/>
    <w:rsid w:val="62EE4E0E"/>
    <w:rsid w:val="63103536"/>
    <w:rsid w:val="631D35FB"/>
    <w:rsid w:val="637117B0"/>
    <w:rsid w:val="63D66F47"/>
    <w:rsid w:val="6432514E"/>
    <w:rsid w:val="64EA02DD"/>
    <w:rsid w:val="650769F5"/>
    <w:rsid w:val="65294014"/>
    <w:rsid w:val="6594485C"/>
    <w:rsid w:val="661870BA"/>
    <w:rsid w:val="664E1ED2"/>
    <w:rsid w:val="66C17139"/>
    <w:rsid w:val="670F2C7E"/>
    <w:rsid w:val="67177A61"/>
    <w:rsid w:val="672B0E36"/>
    <w:rsid w:val="67521C02"/>
    <w:rsid w:val="67D1084C"/>
    <w:rsid w:val="68071CB3"/>
    <w:rsid w:val="68490677"/>
    <w:rsid w:val="6874207A"/>
    <w:rsid w:val="68F20691"/>
    <w:rsid w:val="69040EF7"/>
    <w:rsid w:val="694F2029"/>
    <w:rsid w:val="69C87128"/>
    <w:rsid w:val="6A3F1ACC"/>
    <w:rsid w:val="6AC8256C"/>
    <w:rsid w:val="6AD53F79"/>
    <w:rsid w:val="6B0753CB"/>
    <w:rsid w:val="6B4529DE"/>
    <w:rsid w:val="6BDA3E26"/>
    <w:rsid w:val="6D0A0937"/>
    <w:rsid w:val="6D117C98"/>
    <w:rsid w:val="6D57537F"/>
    <w:rsid w:val="6E1706B0"/>
    <w:rsid w:val="6E34233E"/>
    <w:rsid w:val="6E376631"/>
    <w:rsid w:val="6E4E761C"/>
    <w:rsid w:val="6F0D1054"/>
    <w:rsid w:val="6F1414F0"/>
    <w:rsid w:val="6F2319BD"/>
    <w:rsid w:val="6F365C26"/>
    <w:rsid w:val="6F377216"/>
    <w:rsid w:val="6F52279B"/>
    <w:rsid w:val="6F523C2F"/>
    <w:rsid w:val="6FC50886"/>
    <w:rsid w:val="6FC74EF6"/>
    <w:rsid w:val="6FF137A9"/>
    <w:rsid w:val="706A488A"/>
    <w:rsid w:val="7096358C"/>
    <w:rsid w:val="70B548A1"/>
    <w:rsid w:val="70B56644"/>
    <w:rsid w:val="70D430A6"/>
    <w:rsid w:val="71A751CF"/>
    <w:rsid w:val="71E15EED"/>
    <w:rsid w:val="71F84C1E"/>
    <w:rsid w:val="720D6EFF"/>
    <w:rsid w:val="722717C4"/>
    <w:rsid w:val="724025F5"/>
    <w:rsid w:val="72430DDD"/>
    <w:rsid w:val="72447573"/>
    <w:rsid w:val="72B079D0"/>
    <w:rsid w:val="737A315F"/>
    <w:rsid w:val="73F90B65"/>
    <w:rsid w:val="74106A02"/>
    <w:rsid w:val="74992023"/>
    <w:rsid w:val="74BD5331"/>
    <w:rsid w:val="7507768A"/>
    <w:rsid w:val="757E6D5C"/>
    <w:rsid w:val="759A651B"/>
    <w:rsid w:val="75E874BC"/>
    <w:rsid w:val="76CE56CD"/>
    <w:rsid w:val="76F204D8"/>
    <w:rsid w:val="771B11CB"/>
    <w:rsid w:val="77811EB8"/>
    <w:rsid w:val="778C570E"/>
    <w:rsid w:val="77A81AC9"/>
    <w:rsid w:val="77F56A46"/>
    <w:rsid w:val="782B1418"/>
    <w:rsid w:val="784B7604"/>
    <w:rsid w:val="78725306"/>
    <w:rsid w:val="78A82F32"/>
    <w:rsid w:val="78CF412A"/>
    <w:rsid w:val="78EC5FA0"/>
    <w:rsid w:val="797A73D4"/>
    <w:rsid w:val="79B57BF8"/>
    <w:rsid w:val="79CD2C51"/>
    <w:rsid w:val="79D1425E"/>
    <w:rsid w:val="79D36D23"/>
    <w:rsid w:val="7A0D1922"/>
    <w:rsid w:val="7A84099A"/>
    <w:rsid w:val="7B160BB8"/>
    <w:rsid w:val="7B1D3331"/>
    <w:rsid w:val="7B4F4E2B"/>
    <w:rsid w:val="7BAC434F"/>
    <w:rsid w:val="7BCC151F"/>
    <w:rsid w:val="7CB41BB9"/>
    <w:rsid w:val="7D14102C"/>
    <w:rsid w:val="7D4D111F"/>
    <w:rsid w:val="7D846D04"/>
    <w:rsid w:val="7DE844FD"/>
    <w:rsid w:val="7DF4383B"/>
    <w:rsid w:val="7E3B5501"/>
    <w:rsid w:val="7E600127"/>
    <w:rsid w:val="7EFD120A"/>
    <w:rsid w:val="7F385010"/>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link w:val="57"/>
    <w:autoRedefine/>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8">
    <w:name w:val="heading 5"/>
    <w:basedOn w:val="1"/>
    <w:next w:val="6"/>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9">
    <w:name w:val="heading 6"/>
    <w:basedOn w:val="1"/>
    <w:next w:val="6"/>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10">
    <w:name w:val="heading 7"/>
    <w:basedOn w:val="1"/>
    <w:next w:val="6"/>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1">
    <w:name w:val="heading 8"/>
    <w:basedOn w:val="1"/>
    <w:next w:val="6"/>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2">
    <w:name w:val="heading 9"/>
    <w:basedOn w:val="1"/>
    <w:next w:val="6"/>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widowControl/>
      <w:adjustRightInd w:val="0"/>
      <w:snapToGrid w:val="0"/>
      <w:spacing w:after="200"/>
      <w:ind w:firstLine="420"/>
      <w:jc w:val="left"/>
    </w:pPr>
    <w:rPr>
      <w:kern w:val="0"/>
      <w:sz w:val="18"/>
      <w:szCs w:val="18"/>
    </w:rPr>
  </w:style>
  <w:style w:type="paragraph" w:styleId="6">
    <w:name w:val="Normal Indent"/>
    <w:basedOn w:val="1"/>
    <w:link w:val="198"/>
    <w:autoRedefine/>
    <w:unhideWhenUsed/>
    <w:qFormat/>
    <w:uiPriority w:val="99"/>
    <w:pPr>
      <w:ind w:firstLine="420" w:firstLineChars="200"/>
    </w:pPr>
  </w:style>
  <w:style w:type="paragraph" w:styleId="13">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4">
    <w:name w:val="Document Map"/>
    <w:basedOn w:val="1"/>
    <w:link w:val="119"/>
    <w:autoRedefine/>
    <w:semiHidden/>
    <w:qFormat/>
    <w:uiPriority w:val="0"/>
    <w:pPr>
      <w:shd w:val="clear" w:color="auto" w:fill="000080"/>
    </w:pPr>
    <w:rPr>
      <w:rFonts w:ascii="Times New Roman" w:hAnsi="Times New Roman"/>
      <w:szCs w:val="20"/>
    </w:rPr>
  </w:style>
  <w:style w:type="paragraph" w:styleId="15">
    <w:name w:val="annotation text"/>
    <w:basedOn w:val="1"/>
    <w:link w:val="63"/>
    <w:autoRedefine/>
    <w:unhideWhenUsed/>
    <w:qFormat/>
    <w:uiPriority w:val="0"/>
    <w:pPr>
      <w:jc w:val="left"/>
    </w:pPr>
    <w:rPr>
      <w:kern w:val="0"/>
      <w:sz w:val="20"/>
    </w:rPr>
  </w:style>
  <w:style w:type="paragraph" w:styleId="16">
    <w:name w:val="Body Text 3"/>
    <w:basedOn w:val="1"/>
    <w:link w:val="120"/>
    <w:autoRedefine/>
    <w:qFormat/>
    <w:uiPriority w:val="0"/>
    <w:pPr>
      <w:jc w:val="center"/>
    </w:pPr>
    <w:rPr>
      <w:rFonts w:ascii="Times New Roman" w:hAnsi="Times New Roman"/>
      <w:sz w:val="24"/>
      <w:szCs w:val="20"/>
    </w:rPr>
  </w:style>
  <w:style w:type="paragraph" w:styleId="17">
    <w:name w:val="Body Text"/>
    <w:basedOn w:val="1"/>
    <w:link w:val="64"/>
    <w:autoRedefine/>
    <w:unhideWhenUsed/>
    <w:qFormat/>
    <w:uiPriority w:val="0"/>
    <w:pPr>
      <w:spacing w:after="120"/>
    </w:pPr>
  </w:style>
  <w:style w:type="paragraph" w:styleId="18">
    <w:name w:val="Body Text Indent"/>
    <w:basedOn w:val="1"/>
    <w:link w:val="65"/>
    <w:autoRedefine/>
    <w:unhideWhenUsed/>
    <w:qFormat/>
    <w:uiPriority w:val="0"/>
    <w:pPr>
      <w:spacing w:after="120"/>
      <w:ind w:left="420" w:leftChars="200"/>
    </w:pPr>
  </w:style>
  <w:style w:type="paragraph" w:styleId="19">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20">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1">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2">
    <w:name w:val="Plain Text"/>
    <w:basedOn w:val="1"/>
    <w:link w:val="66"/>
    <w:autoRedefine/>
    <w:unhideWhenUsed/>
    <w:qFormat/>
    <w:uiPriority w:val="0"/>
    <w:rPr>
      <w:rFonts w:ascii="宋体" w:hAnsi="Courier New" w:cs="Courier New"/>
      <w:kern w:val="0"/>
      <w:sz w:val="20"/>
      <w:szCs w:val="21"/>
    </w:rPr>
  </w:style>
  <w:style w:type="paragraph" w:styleId="23">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4">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5">
    <w:name w:val="Body Text Indent 2"/>
    <w:basedOn w:val="1"/>
    <w:link w:val="67"/>
    <w:autoRedefine/>
    <w:unhideWhenUsed/>
    <w:qFormat/>
    <w:uiPriority w:val="0"/>
    <w:pPr>
      <w:spacing w:after="120" w:line="480" w:lineRule="auto"/>
      <w:ind w:left="420" w:leftChars="200"/>
    </w:pPr>
  </w:style>
  <w:style w:type="paragraph" w:styleId="26">
    <w:name w:val="Balloon Text"/>
    <w:basedOn w:val="1"/>
    <w:link w:val="68"/>
    <w:autoRedefine/>
    <w:unhideWhenUsed/>
    <w:qFormat/>
    <w:uiPriority w:val="0"/>
    <w:rPr>
      <w:rFonts w:ascii="Times New Roman" w:hAnsi="Times New Roman"/>
      <w:kern w:val="0"/>
      <w:sz w:val="18"/>
      <w:szCs w:val="18"/>
    </w:rPr>
  </w:style>
  <w:style w:type="paragraph" w:styleId="27">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8">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9">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30">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1">
    <w:name w:val="Subtitle"/>
    <w:basedOn w:val="1"/>
    <w:next w:val="1"/>
    <w:link w:val="71"/>
    <w:autoRedefine/>
    <w:qFormat/>
    <w:uiPriority w:val="11"/>
    <w:pPr>
      <w:spacing w:after="60"/>
      <w:jc w:val="center"/>
      <w:outlineLvl w:val="1"/>
    </w:pPr>
    <w:rPr>
      <w:kern w:val="0"/>
      <w:sz w:val="24"/>
    </w:rPr>
  </w:style>
  <w:style w:type="paragraph" w:styleId="32">
    <w:name w:val="footnote text"/>
    <w:basedOn w:val="1"/>
    <w:link w:val="122"/>
    <w:autoRedefine/>
    <w:semiHidden/>
    <w:qFormat/>
    <w:uiPriority w:val="0"/>
    <w:pPr>
      <w:snapToGrid w:val="0"/>
      <w:jc w:val="center"/>
    </w:pPr>
    <w:rPr>
      <w:rFonts w:ascii="宋体" w:hAnsi="宋体"/>
      <w:kern w:val="0"/>
      <w:sz w:val="18"/>
      <w:szCs w:val="18"/>
    </w:rPr>
  </w:style>
  <w:style w:type="paragraph" w:styleId="33">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4">
    <w:name w:val="Body Text Indent 3"/>
    <w:basedOn w:val="1"/>
    <w:link w:val="123"/>
    <w:autoRedefine/>
    <w:qFormat/>
    <w:uiPriority w:val="0"/>
    <w:pPr>
      <w:ind w:left="900" w:leftChars="428" w:hanging="1"/>
    </w:pPr>
    <w:rPr>
      <w:rFonts w:ascii="Times New Roman" w:hAnsi="Times New Roman"/>
      <w:szCs w:val="20"/>
    </w:rPr>
  </w:style>
  <w:style w:type="paragraph" w:styleId="35">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6">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7">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8">
    <w:name w:val="Body Text 2"/>
    <w:basedOn w:val="1"/>
    <w:link w:val="124"/>
    <w:autoRedefine/>
    <w:qFormat/>
    <w:uiPriority w:val="0"/>
    <w:rPr>
      <w:rFonts w:ascii="Times New Roman" w:hAnsi="Times New Roman"/>
      <w:sz w:val="24"/>
      <w:szCs w:val="20"/>
    </w:rPr>
  </w:style>
  <w:style w:type="paragraph" w:styleId="39">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4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2">
    <w:name w:val="annotation subject"/>
    <w:basedOn w:val="15"/>
    <w:next w:val="15"/>
    <w:link w:val="74"/>
    <w:autoRedefine/>
    <w:unhideWhenUsed/>
    <w:qFormat/>
    <w:uiPriority w:val="0"/>
    <w:rPr>
      <w:b/>
      <w:bCs/>
    </w:rPr>
  </w:style>
  <w:style w:type="paragraph" w:styleId="43">
    <w:name w:val="Body Text First Indent"/>
    <w:basedOn w:val="17"/>
    <w:link w:val="125"/>
    <w:autoRedefine/>
    <w:qFormat/>
    <w:uiPriority w:val="0"/>
    <w:pPr>
      <w:ind w:firstLine="420" w:firstLineChars="100"/>
    </w:pPr>
    <w:rPr>
      <w:rFonts w:ascii="Times New Roman" w:hAnsi="Times New Roman"/>
      <w:szCs w:val="20"/>
    </w:rPr>
  </w:style>
  <w:style w:type="paragraph" w:styleId="44">
    <w:name w:val="Body Text First Indent 2"/>
    <w:basedOn w:val="18"/>
    <w:link w:val="76"/>
    <w:autoRedefine/>
    <w:unhideWhenUsed/>
    <w:qFormat/>
    <w:uiPriority w:val="0"/>
    <w:pPr>
      <w:ind w:firstLine="420" w:firstLineChars="200"/>
    </w:p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basedOn w:val="47"/>
    <w:autoRedefine/>
    <w:unhideWhenUsed/>
    <w:qFormat/>
    <w:uiPriority w:val="0"/>
    <w:rPr>
      <w:color w:val="954F72" w:themeColor="followedHyperlink"/>
      <w:u w:val="single"/>
      <w14:textFill>
        <w14:solidFill>
          <w14:schemeClr w14:val="folHlink"/>
        </w14:solidFill>
      </w14:textFill>
    </w:rPr>
  </w:style>
  <w:style w:type="character" w:styleId="51">
    <w:name w:val="Emphasis"/>
    <w:autoRedefine/>
    <w:qFormat/>
    <w:uiPriority w:val="20"/>
    <w:rPr>
      <w:color w:val="DD0000"/>
    </w:rPr>
  </w:style>
  <w:style w:type="character" w:styleId="52">
    <w:name w:val="Hyperlink"/>
    <w:autoRedefine/>
    <w:unhideWhenUsed/>
    <w:qFormat/>
    <w:uiPriority w:val="99"/>
    <w:rPr>
      <w:color w:val="0000FF"/>
      <w:u w:val="single"/>
    </w:rPr>
  </w:style>
  <w:style w:type="character" w:styleId="53">
    <w:name w:val="annotation reference"/>
    <w:autoRedefine/>
    <w:unhideWhenUsed/>
    <w:qFormat/>
    <w:uiPriority w:val="0"/>
    <w:rPr>
      <w:sz w:val="21"/>
      <w:szCs w:val="21"/>
    </w:rPr>
  </w:style>
  <w:style w:type="character" w:customStyle="1" w:styleId="54">
    <w:name w:val="标题 4 Char"/>
    <w:basedOn w:val="47"/>
    <w:link w:val="7"/>
    <w:autoRedefine/>
    <w:qFormat/>
    <w:uiPriority w:val="0"/>
    <w:rPr>
      <w:rFonts w:asciiTheme="majorHAnsi" w:hAnsiTheme="majorHAnsi" w:eastAsiaTheme="majorEastAsia" w:cstheme="majorBidi"/>
      <w:b/>
      <w:bCs/>
      <w:sz w:val="28"/>
      <w:szCs w:val="28"/>
    </w:rPr>
  </w:style>
  <w:style w:type="character" w:customStyle="1" w:styleId="55">
    <w:name w:val="标题 1 Char"/>
    <w:basedOn w:val="47"/>
    <w:link w:val="3"/>
    <w:autoRedefine/>
    <w:qFormat/>
    <w:uiPriority w:val="9"/>
    <w:rPr>
      <w:rFonts w:ascii="Calibri" w:hAnsi="Calibri" w:eastAsia="宋体" w:cs="Times New Roman"/>
      <w:b/>
      <w:bCs/>
      <w:kern w:val="44"/>
      <w:sz w:val="44"/>
      <w:szCs w:val="44"/>
    </w:rPr>
  </w:style>
  <w:style w:type="character" w:customStyle="1" w:styleId="56">
    <w:name w:val="标题 2 Char1"/>
    <w:basedOn w:val="47"/>
    <w:link w:val="4"/>
    <w:autoRedefine/>
    <w:qFormat/>
    <w:uiPriority w:val="0"/>
    <w:rPr>
      <w:rFonts w:ascii="Arial" w:hAnsi="Arial" w:eastAsia="黑体" w:cs="Times New Roman"/>
      <w:b/>
      <w:bCs/>
      <w:sz w:val="32"/>
      <w:szCs w:val="32"/>
    </w:rPr>
  </w:style>
  <w:style w:type="character" w:customStyle="1" w:styleId="57">
    <w:name w:val="标题 3 Char"/>
    <w:basedOn w:val="47"/>
    <w:link w:val="5"/>
    <w:autoRedefine/>
    <w:qFormat/>
    <w:uiPriority w:val="9"/>
    <w:rPr>
      <w:rFonts w:ascii="Calibri" w:hAnsi="Calibri" w:eastAsia="宋体" w:cs="Times New Roman"/>
      <w:b/>
      <w:bCs/>
      <w:sz w:val="32"/>
      <w:szCs w:val="32"/>
    </w:rPr>
  </w:style>
  <w:style w:type="character" w:customStyle="1" w:styleId="58">
    <w:name w:val="标题 5 Char"/>
    <w:basedOn w:val="47"/>
    <w:link w:val="8"/>
    <w:autoRedefine/>
    <w:qFormat/>
    <w:uiPriority w:val="0"/>
    <w:rPr>
      <w:rFonts w:ascii="Times New Roman" w:hAnsi="Times New Roman" w:eastAsia="宋体" w:cs="Times New Roman"/>
      <w:b/>
      <w:kern w:val="2"/>
      <w:sz w:val="28"/>
    </w:rPr>
  </w:style>
  <w:style w:type="character" w:customStyle="1" w:styleId="59">
    <w:name w:val="标题 6 Char"/>
    <w:basedOn w:val="47"/>
    <w:link w:val="9"/>
    <w:autoRedefine/>
    <w:qFormat/>
    <w:uiPriority w:val="0"/>
    <w:rPr>
      <w:rFonts w:ascii="Arial" w:hAnsi="Arial" w:eastAsia="黑体" w:cs="Times New Roman"/>
      <w:b/>
      <w:kern w:val="2"/>
      <w:sz w:val="24"/>
    </w:rPr>
  </w:style>
  <w:style w:type="character" w:customStyle="1" w:styleId="60">
    <w:name w:val="标题 7 Char"/>
    <w:basedOn w:val="47"/>
    <w:link w:val="10"/>
    <w:autoRedefine/>
    <w:qFormat/>
    <w:uiPriority w:val="0"/>
    <w:rPr>
      <w:rFonts w:ascii="Times New Roman" w:hAnsi="Times New Roman" w:eastAsia="宋体" w:cs="Times New Roman"/>
      <w:b/>
      <w:kern w:val="2"/>
      <w:sz w:val="24"/>
    </w:rPr>
  </w:style>
  <w:style w:type="character" w:customStyle="1" w:styleId="61">
    <w:name w:val="标题 8 Char"/>
    <w:basedOn w:val="47"/>
    <w:link w:val="11"/>
    <w:autoRedefine/>
    <w:qFormat/>
    <w:uiPriority w:val="0"/>
    <w:rPr>
      <w:rFonts w:ascii="Arial" w:hAnsi="Arial" w:eastAsia="黑体" w:cs="Times New Roman"/>
      <w:kern w:val="2"/>
      <w:sz w:val="24"/>
    </w:rPr>
  </w:style>
  <w:style w:type="character" w:customStyle="1" w:styleId="62">
    <w:name w:val="标题 9 Char"/>
    <w:basedOn w:val="47"/>
    <w:link w:val="12"/>
    <w:autoRedefine/>
    <w:qFormat/>
    <w:uiPriority w:val="0"/>
    <w:rPr>
      <w:rFonts w:ascii="Arial" w:hAnsi="Arial" w:eastAsia="黑体" w:cs="Times New Roman"/>
      <w:kern w:val="2"/>
      <w:sz w:val="21"/>
    </w:rPr>
  </w:style>
  <w:style w:type="character" w:customStyle="1" w:styleId="63">
    <w:name w:val="批注文字 Char"/>
    <w:link w:val="15"/>
    <w:autoRedefine/>
    <w:qFormat/>
    <w:locked/>
    <w:uiPriority w:val="0"/>
    <w:rPr>
      <w:rFonts w:ascii="Calibri" w:hAnsi="Calibri" w:eastAsia="宋体" w:cs="Times New Roman"/>
      <w:kern w:val="0"/>
      <w:sz w:val="20"/>
      <w:szCs w:val="24"/>
    </w:rPr>
  </w:style>
  <w:style w:type="character" w:customStyle="1" w:styleId="64">
    <w:name w:val="正文文本 Char"/>
    <w:basedOn w:val="47"/>
    <w:link w:val="17"/>
    <w:autoRedefine/>
    <w:qFormat/>
    <w:uiPriority w:val="1"/>
    <w:rPr>
      <w:rFonts w:ascii="Calibri" w:hAnsi="Calibri" w:eastAsia="宋体" w:cs="Times New Roman"/>
      <w:szCs w:val="24"/>
    </w:rPr>
  </w:style>
  <w:style w:type="character" w:customStyle="1" w:styleId="65">
    <w:name w:val="正文文本缩进 Char"/>
    <w:basedOn w:val="47"/>
    <w:link w:val="18"/>
    <w:autoRedefine/>
    <w:semiHidden/>
    <w:qFormat/>
    <w:uiPriority w:val="99"/>
    <w:rPr>
      <w:rFonts w:ascii="Calibri" w:hAnsi="Calibri" w:eastAsia="宋体" w:cs="Times New Roman"/>
      <w:szCs w:val="24"/>
    </w:rPr>
  </w:style>
  <w:style w:type="character" w:customStyle="1" w:styleId="66">
    <w:name w:val="纯文本 Char2"/>
    <w:basedOn w:val="47"/>
    <w:link w:val="22"/>
    <w:autoRedefine/>
    <w:qFormat/>
    <w:uiPriority w:val="0"/>
    <w:rPr>
      <w:rFonts w:ascii="宋体" w:hAnsi="Courier New" w:eastAsia="宋体" w:cs="Courier New"/>
      <w:kern w:val="0"/>
      <w:sz w:val="20"/>
      <w:szCs w:val="21"/>
    </w:rPr>
  </w:style>
  <w:style w:type="character" w:customStyle="1" w:styleId="67">
    <w:name w:val="正文文本缩进 2 Char"/>
    <w:basedOn w:val="47"/>
    <w:link w:val="25"/>
    <w:autoRedefine/>
    <w:qFormat/>
    <w:uiPriority w:val="0"/>
    <w:rPr>
      <w:rFonts w:ascii="Calibri" w:hAnsi="Calibri" w:eastAsia="宋体" w:cs="Times New Roman"/>
      <w:szCs w:val="24"/>
    </w:rPr>
  </w:style>
  <w:style w:type="character" w:customStyle="1" w:styleId="68">
    <w:name w:val="批注框文本 Char"/>
    <w:basedOn w:val="47"/>
    <w:link w:val="26"/>
    <w:autoRedefine/>
    <w:semiHidden/>
    <w:qFormat/>
    <w:uiPriority w:val="0"/>
    <w:rPr>
      <w:rFonts w:ascii="Times New Roman" w:hAnsi="Times New Roman" w:eastAsia="宋体" w:cs="Times New Roman"/>
      <w:kern w:val="0"/>
      <w:sz w:val="18"/>
      <w:szCs w:val="18"/>
    </w:rPr>
  </w:style>
  <w:style w:type="character" w:customStyle="1" w:styleId="69">
    <w:name w:val="页脚 Char1"/>
    <w:basedOn w:val="47"/>
    <w:link w:val="27"/>
    <w:autoRedefine/>
    <w:qFormat/>
    <w:uiPriority w:val="0"/>
    <w:rPr>
      <w:rFonts w:ascii="Times New Roman" w:hAnsi="Times New Roman" w:eastAsia="宋体" w:cs="Times New Roman"/>
      <w:kern w:val="0"/>
      <w:sz w:val="18"/>
      <w:szCs w:val="18"/>
    </w:rPr>
  </w:style>
  <w:style w:type="character" w:customStyle="1" w:styleId="70">
    <w:name w:val="页眉 Char1"/>
    <w:basedOn w:val="47"/>
    <w:link w:val="28"/>
    <w:autoRedefine/>
    <w:qFormat/>
    <w:uiPriority w:val="0"/>
    <w:rPr>
      <w:rFonts w:ascii="Times New Roman" w:hAnsi="Times New Roman" w:eastAsia="宋体" w:cs="Times New Roman"/>
      <w:kern w:val="0"/>
      <w:sz w:val="18"/>
      <w:szCs w:val="18"/>
    </w:rPr>
  </w:style>
  <w:style w:type="character" w:customStyle="1" w:styleId="71">
    <w:name w:val="副标题 Char1"/>
    <w:basedOn w:val="47"/>
    <w:link w:val="31"/>
    <w:autoRedefine/>
    <w:qFormat/>
    <w:uiPriority w:val="11"/>
    <w:rPr>
      <w:rFonts w:ascii="Calibri" w:hAnsi="Calibri" w:eastAsia="宋体" w:cs="Times New Roman"/>
      <w:kern w:val="0"/>
      <w:sz w:val="24"/>
      <w:szCs w:val="24"/>
    </w:rPr>
  </w:style>
  <w:style w:type="character" w:customStyle="1" w:styleId="72">
    <w:name w:val="HTML 预设格式 Char"/>
    <w:basedOn w:val="47"/>
    <w:link w:val="39"/>
    <w:autoRedefine/>
    <w:semiHidden/>
    <w:qFormat/>
    <w:uiPriority w:val="99"/>
    <w:rPr>
      <w:rFonts w:ascii="宋体" w:hAnsi="宋体" w:eastAsia="仿宋" w:cs="宋体"/>
      <w:kern w:val="0"/>
      <w:sz w:val="24"/>
      <w:szCs w:val="24"/>
    </w:rPr>
  </w:style>
  <w:style w:type="character" w:customStyle="1" w:styleId="73">
    <w:name w:val="标题 Char"/>
    <w:basedOn w:val="47"/>
    <w:link w:val="41"/>
    <w:autoRedefine/>
    <w:qFormat/>
    <w:uiPriority w:val="10"/>
    <w:rPr>
      <w:rFonts w:ascii="Cambria" w:hAnsi="Cambria" w:eastAsia="宋体" w:cs="Times New Roman"/>
      <w:b/>
      <w:bCs/>
      <w:sz w:val="32"/>
      <w:szCs w:val="32"/>
    </w:rPr>
  </w:style>
  <w:style w:type="character" w:customStyle="1" w:styleId="74">
    <w:name w:val="批注主题 Char"/>
    <w:basedOn w:val="75"/>
    <w:link w:val="42"/>
    <w:autoRedefine/>
    <w:semiHidden/>
    <w:qFormat/>
    <w:uiPriority w:val="0"/>
    <w:rPr>
      <w:rFonts w:ascii="Calibri" w:hAnsi="Calibri" w:eastAsia="宋体" w:cs="Times New Roman"/>
      <w:b/>
      <w:bCs/>
      <w:kern w:val="0"/>
      <w:sz w:val="20"/>
      <w:szCs w:val="24"/>
    </w:rPr>
  </w:style>
  <w:style w:type="character" w:customStyle="1" w:styleId="75">
    <w:name w:val="批注文字 字符"/>
    <w:basedOn w:val="47"/>
    <w:autoRedefine/>
    <w:qFormat/>
    <w:uiPriority w:val="0"/>
    <w:rPr>
      <w:rFonts w:ascii="Calibri" w:hAnsi="Calibri" w:eastAsia="宋体" w:cs="Times New Roman"/>
      <w:szCs w:val="24"/>
    </w:rPr>
  </w:style>
  <w:style w:type="character" w:customStyle="1" w:styleId="76">
    <w:name w:val="正文首行缩进 2 Char"/>
    <w:basedOn w:val="65"/>
    <w:link w:val="44"/>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7"/>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7"/>
    <w:autoRedefine/>
    <w:semiHidden/>
    <w:qFormat/>
    <w:uiPriority w:val="99"/>
    <w:rPr>
      <w:kern w:val="2"/>
      <w:sz w:val="21"/>
      <w:szCs w:val="24"/>
    </w:rPr>
  </w:style>
  <w:style w:type="character" w:customStyle="1" w:styleId="106">
    <w:name w:val="批注文字 字符2"/>
    <w:basedOn w:val="47"/>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7"/>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7"/>
    <w:autoRedefine/>
    <w:semiHidden/>
    <w:qFormat/>
    <w:uiPriority w:val="99"/>
    <w:rPr>
      <w:kern w:val="2"/>
      <w:sz w:val="21"/>
      <w:szCs w:val="24"/>
    </w:rPr>
  </w:style>
  <w:style w:type="character" w:customStyle="1" w:styleId="110">
    <w:name w:val="批注框文本 字符1"/>
    <w:basedOn w:val="47"/>
    <w:autoRedefine/>
    <w:semiHidden/>
    <w:qFormat/>
    <w:uiPriority w:val="99"/>
    <w:rPr>
      <w:kern w:val="2"/>
      <w:sz w:val="18"/>
      <w:szCs w:val="18"/>
    </w:rPr>
  </w:style>
  <w:style w:type="character" w:customStyle="1" w:styleId="111">
    <w:name w:val="正文文本缩进 字符1"/>
    <w:basedOn w:val="47"/>
    <w:autoRedefine/>
    <w:semiHidden/>
    <w:qFormat/>
    <w:uiPriority w:val="99"/>
    <w:rPr>
      <w:kern w:val="2"/>
      <w:sz w:val="21"/>
      <w:szCs w:val="24"/>
    </w:rPr>
  </w:style>
  <w:style w:type="character" w:customStyle="1" w:styleId="112">
    <w:name w:val="页脚 字符1"/>
    <w:basedOn w:val="47"/>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7"/>
    <w:autoRedefine/>
    <w:semiHidden/>
    <w:qFormat/>
    <w:uiPriority w:val="99"/>
    <w:rPr>
      <w:kern w:val="2"/>
      <w:sz w:val="18"/>
      <w:szCs w:val="18"/>
    </w:rPr>
  </w:style>
  <w:style w:type="character" w:customStyle="1" w:styleId="115">
    <w:name w:val="副标题 字符2"/>
    <w:basedOn w:val="47"/>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7"/>
    <w:autoRedefine/>
    <w:semiHidden/>
    <w:qFormat/>
    <w:uiPriority w:val="99"/>
    <w:rPr>
      <w:rFonts w:hint="default" w:ascii="Courier New" w:hAnsi="Courier New" w:cs="Courier New"/>
      <w:kern w:val="2"/>
    </w:rPr>
  </w:style>
  <w:style w:type="character" w:customStyle="1" w:styleId="117">
    <w:name w:val="标题 字符1"/>
    <w:basedOn w:val="47"/>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4"/>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7"/>
    <w:link w:val="14"/>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7"/>
    <w:link w:val="16"/>
    <w:autoRedefine/>
    <w:qFormat/>
    <w:uiPriority w:val="0"/>
    <w:rPr>
      <w:rFonts w:ascii="Times New Roman" w:hAnsi="Times New Roman" w:eastAsia="宋体" w:cs="Times New Roman"/>
      <w:kern w:val="2"/>
      <w:sz w:val="24"/>
    </w:rPr>
  </w:style>
  <w:style w:type="character" w:customStyle="1" w:styleId="121">
    <w:name w:val="日期 Char"/>
    <w:basedOn w:val="47"/>
    <w:link w:val="24"/>
    <w:autoRedefine/>
    <w:qFormat/>
    <w:uiPriority w:val="0"/>
    <w:rPr>
      <w:sz w:val="22"/>
      <w:szCs w:val="22"/>
      <w:lang w:eastAsia="en-US"/>
    </w:rPr>
  </w:style>
  <w:style w:type="character" w:customStyle="1" w:styleId="122">
    <w:name w:val="脚注文本 Char"/>
    <w:basedOn w:val="47"/>
    <w:link w:val="32"/>
    <w:autoRedefine/>
    <w:semiHidden/>
    <w:qFormat/>
    <w:uiPriority w:val="0"/>
    <w:rPr>
      <w:rFonts w:ascii="宋体" w:hAnsi="宋体" w:eastAsia="宋体" w:cs="Times New Roman"/>
      <w:sz w:val="18"/>
      <w:szCs w:val="18"/>
    </w:rPr>
  </w:style>
  <w:style w:type="character" w:customStyle="1" w:styleId="123">
    <w:name w:val="正文文本缩进 3 Char"/>
    <w:basedOn w:val="47"/>
    <w:link w:val="34"/>
    <w:autoRedefine/>
    <w:qFormat/>
    <w:uiPriority w:val="0"/>
    <w:rPr>
      <w:rFonts w:ascii="Times New Roman" w:hAnsi="Times New Roman" w:eastAsia="宋体" w:cs="Times New Roman"/>
      <w:kern w:val="2"/>
      <w:sz w:val="21"/>
    </w:rPr>
  </w:style>
  <w:style w:type="character" w:customStyle="1" w:styleId="124">
    <w:name w:val="正文文本 2 Char"/>
    <w:basedOn w:val="47"/>
    <w:link w:val="38"/>
    <w:autoRedefine/>
    <w:qFormat/>
    <w:uiPriority w:val="0"/>
    <w:rPr>
      <w:rFonts w:ascii="Times New Roman" w:hAnsi="Times New Roman" w:eastAsia="宋体" w:cs="Times New Roman"/>
      <w:kern w:val="2"/>
      <w:sz w:val="24"/>
    </w:rPr>
  </w:style>
  <w:style w:type="character" w:customStyle="1" w:styleId="125">
    <w:name w:val="正文首行缩进 Char1"/>
    <w:basedOn w:val="64"/>
    <w:link w:val="43"/>
    <w:autoRedefine/>
    <w:qFormat/>
    <w:uiPriority w:val="0"/>
    <w:rPr>
      <w:rFonts w:ascii="Times New Roman" w:hAnsi="Times New Roman" w:eastAsia="宋体" w:cs="Times New Roman"/>
      <w:kern w:val="2"/>
      <w:sz w:val="21"/>
      <w:szCs w:val="24"/>
    </w:rPr>
  </w:style>
  <w:style w:type="paragraph" w:customStyle="1" w:styleId="126">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9"/>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7"/>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7"/>
    <w:autoRedefine/>
    <w:qFormat/>
    <w:uiPriority w:val="3"/>
  </w:style>
  <w:style w:type="paragraph" w:customStyle="1" w:styleId="184">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8"/>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7"/>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5"/>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6"/>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7"/>
    <w:autoRedefine/>
    <w:semiHidden/>
    <w:unhideWhenUsed/>
    <w:qFormat/>
    <w:uiPriority w:val="99"/>
    <w:rPr>
      <w:color w:val="605E5C"/>
      <w:shd w:val="clear" w:color="auto" w:fill="E1DFDD"/>
    </w:rPr>
  </w:style>
  <w:style w:type="character" w:customStyle="1" w:styleId="213">
    <w:name w:val="fontstyle01"/>
    <w:basedOn w:val="47"/>
    <w:autoRedefine/>
    <w:qFormat/>
    <w:uiPriority w:val="0"/>
    <w:rPr>
      <w:rFonts w:ascii="宋体" w:hAnsi="宋体" w:eastAsia="宋体" w:cs="宋体"/>
      <w:color w:val="000000"/>
      <w:sz w:val="24"/>
      <w:szCs w:val="24"/>
    </w:rPr>
  </w:style>
  <w:style w:type="character" w:customStyle="1" w:styleId="214">
    <w:name w:val="fontstyle21"/>
    <w:basedOn w:val="47"/>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2"/>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2"/>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2"/>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1002</Words>
  <Characters>5717</Characters>
  <Lines>47</Lines>
  <Paragraphs>13</Paragraphs>
  <TotalTime>1</TotalTime>
  <ScaleCrop>false</ScaleCrop>
  <LinksUpToDate>false</LinksUpToDate>
  <CharactersWithSpaces>6706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2024-04-25T08:49:54Z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AB63EC0B47564F879AC5614CA450C25A</vt:lpwstr>
  </property>
</Properties>
</file>