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宋体"/>
          <w:b/>
          <w:bCs/>
          <w:color w:val="000000" w:themeColor="text1"/>
          <w:sz w:val="84"/>
          <w:szCs w:val="84"/>
          <w:shd w:val="clear" w:color="auto" w:fill="FFFFFF" w:themeFill="background1"/>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采购方式：综合评审</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项目编号：JHWGC-20240401-01(CH-SWJHW2024-016)</w:t>
      </w:r>
    </w:p>
    <w:p>
      <w:pPr>
        <w:spacing w:line="360" w:lineRule="auto"/>
        <w:ind w:left="1405" w:hanging="1405" w:hangingChars="500"/>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项目名称：陆丰甲湖湾电厂办公云平台安全性能提升项目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二零二四年四月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kern w:val="0"/>
          <w:sz w:val="32"/>
          <w:szCs w:val="40"/>
        </w:rPr>
        <w:id w:val="147452743"/>
        <w15:color w:val="DBDBDB"/>
        <w:docPartObj>
          <w:docPartGallery w:val="Table of Contents"/>
          <w:docPartUnique/>
        </w:docPartObj>
      </w:sdtPr>
      <w:sdtEndPr>
        <w:rPr>
          <w:rFonts w:ascii="Calibri" w:hAnsi="Calibri"/>
          <w:kern w:val="0"/>
          <w:sz w:val="18"/>
          <w:szCs w:val="18"/>
        </w:rPr>
      </w:sdtEndPr>
      <w:sdtContent>
        <w:p>
          <w:pPr>
            <w:widowControl/>
            <w:jc w:val="center"/>
            <w:rPr>
              <w:sz w:val="32"/>
              <w:szCs w:val="40"/>
            </w:rPr>
          </w:pPr>
          <w:r>
            <w:rPr>
              <w:rFonts w:ascii="宋体" w:hAnsi="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fldChar w:fldCharType="begin"/>
          </w:r>
          <w:r>
            <w:instrText xml:space="preserve"> HYPERLINK \l "_Toc12986" </w:instrText>
          </w:r>
          <w:r>
            <w:fldChar w:fldCharType="separate"/>
          </w:r>
          <w:r>
            <w:rPr>
              <w:rFonts w:ascii="宋体" w:hAnsi="宋体" w:cs="宋体"/>
              <w:sz w:val="24"/>
              <w:szCs w:val="44"/>
              <w:shd w:val="clear" w:color="auto" w:fill="FFFFFF" w:themeFill="background1"/>
            </w:rPr>
            <w:t xml:space="preserve">第一章 </w:t>
          </w:r>
          <w:r>
            <w:rPr>
              <w:rFonts w:hint="eastAsia" w:ascii="宋体" w:hAnsi="宋体" w:cs="宋体"/>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"_Toc24952" </w:instrText>
          </w:r>
          <w:r>
            <w:fldChar w:fldCharType="separate"/>
          </w:r>
          <w:r>
            <w:rPr>
              <w:rFonts w:hint="eastAsia" w:ascii="宋体" w:hAnsi="宋体" w:cs="宋体"/>
              <w:sz w:val="24"/>
              <w:szCs w:val="44"/>
              <w:shd w:val="clear" w:color="auto" w:fill="FFFFFF" w:themeFill="background1"/>
            </w:rPr>
            <w:t xml:space="preserve">第二章 </w:t>
          </w:r>
          <w:r>
            <w:rPr>
              <w:rFonts w:hint="eastAsia" w:ascii="宋体" w:hAnsi="宋体" w:cs="宋体"/>
              <w:sz w:val="24"/>
              <w:szCs w:val="44"/>
              <w:shd w:val="clear" w:color="auto" w:fill="FFFFFF" w:themeFill="background1"/>
              <w:lang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"_Toc6876"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三</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"_Toc4933"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四</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"_Toc7166" </w:instrText>
          </w:r>
          <w:r>
            <w:fldChar w:fldCharType="separate"/>
          </w:r>
          <w:r>
            <w:rPr>
              <w:rFonts w:hint="eastAsia" w:ascii="宋体" w:hAnsi="宋体" w:cs="宋体"/>
              <w:kern w:val="44"/>
              <w:sz w:val="24"/>
              <w:szCs w:val="44"/>
              <w:shd w:val="clear" w:color="auto" w:fill="FFFFFF" w:themeFill="background1"/>
            </w:rPr>
            <w:t>第</w:t>
          </w:r>
          <w:r>
            <w:rPr>
              <w:rFonts w:hint="eastAsia" w:ascii="宋体" w:hAnsi="宋体" w:cs="宋体"/>
              <w:kern w:val="44"/>
              <w:sz w:val="24"/>
              <w:szCs w:val="44"/>
              <w:shd w:val="clear" w:color="auto" w:fill="FFFFFF" w:themeFill="background1"/>
              <w:lang w:eastAsia="zh-CN"/>
            </w:rPr>
            <w:t>五</w:t>
          </w:r>
          <w:r>
            <w:rPr>
              <w:rFonts w:hint="eastAsia" w:ascii="宋体" w:hAnsi="宋体" w:cs="宋体"/>
              <w:kern w:val="44"/>
              <w:sz w:val="24"/>
              <w:szCs w:val="44"/>
              <w:shd w:val="clear" w:color="auto" w:fill="FFFFFF" w:themeFill="background1"/>
            </w:rPr>
            <w:t xml:space="preserve">章 </w:t>
          </w:r>
          <w:r>
            <w:rPr>
              <w:rFonts w:hint="eastAsia" w:ascii="宋体" w:hAnsi="宋体" w:cs="宋体"/>
              <w:kern w:val="44"/>
              <w:sz w:val="24"/>
              <w:szCs w:val="44"/>
              <w:shd w:val="clear" w:color="auto" w:fill="FFFFFF" w:themeFill="background1"/>
              <w:lang w:eastAsia="zh-CN"/>
            </w:rPr>
            <w:t>投标</w:t>
          </w:r>
          <w:r>
            <w:rPr>
              <w:rFonts w:hint="eastAsia" w:ascii="宋体" w:hAnsi="宋体" w:cs="宋体"/>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本项目通过线上平台进行公开招标，参与综合评审的供应商必须登陆交易平台（http://chxmzx.com/）进行注册，注册成功后方可参与项目投标。</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在平台参与项目投标后放弃成交资格超过三次（含三次）的供应商连同该供应商同一法人名下所有公司将被列入平台黑名单，永久不得参与平台的项目投标。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投标说明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参与综合评审的投标人应承担所有与准备和参加综合评审有关的费用，不论综合评审的结果如何，招标人和代理机构均无义务和责任承担这些费用。</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投标人必须按综合评审附件的格式填写，不得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增加或删除表格内容。除单价、金额或项目要求填写的内容外，不得擅自改动综合评审附件内容，否则将有可能影响成交结果，不推荐为成交候选人。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成交投标人因自身原因被取消成交资格，招标人可重新启动采购或按综合评审公告规定顺延推选符合要求的投标人作为成交人。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若本项目投标采购失败，招标人将重新采购，届时招标人有权根据项目具体情况，决定重新采购项目的采购方式。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成交投标人若无正当理由恶意放弃成交资格，招标人有权将拒绝其参加本项目重新组织的综合评审采购活动。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参与综合评审的供应商所提交的综合评审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参与综合评审的投标人向我司咨询的有关项目事项，一切以综合评审文件规定和综合评审公告规定以及本公司的书面答复为准，其他一切形式均为个人意见，不代表本公司的意见。</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认真阅读、并充分理解综合评审文件的全部内容（包括所有的补充、修改内容重要事项、格式、条款、服务要求和技术规范、参数及要求等）。投标人没有按照综合评审文件要求提交全部资料，或者参与综合评审所上传的文件没有对综合评审文件在各方面都作出实质性响应是投标人的风险，有可能导致其综合评审被拒绝，或被认定为无效综合评审。</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投标人认为综合评审结果损害其权益的，应按照平台相关指引在规定的时间内向招标人或代理机构提交书面质疑，不提交的视为无异议，逾期提交将不予受理；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本项目不公开预算，投标人需按综合评审文件中的用户需求进行合理报价，若投标人的报价不合理且不符合采购人的预算要求的，针对本项目采购人可作废标处理；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至截止报名时间止，如报名家数不足三家，经招标方确认后可延长报名及报价时间，直至报名家数满足三家为止或经招标方确认后可以继续综合评审流程。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本综合评审公告和综合评审文件的解释权归“汕尾采鸿项目咨询有限公司”所有。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综合评审文件的澄清或修改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招标人或者采购代理机构可以对已发出的综合评审文件进行必要的澄清或者修改。澄清或者修改的内容将在平台上发布澄清（更正/变更）公告。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无论澄清或者修改的内容是否影响综合评审，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招标人或者采购代理机构发出的澄清或修改（更正/变更）的内容为综合评审文件的组成部分，并对投标人具有约束力。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投标人在项目相关公告以及综合评审文件等相关规定的报名报价有效期内撤销其报价的；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获取成交资格后无正当理由放弃成交资格或成交人拒绝与招标人签订合同的；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4.报名要求（参与综合评审的投标人资质要求： 报名时需要提供以下盖章资料，并对上传的报名文件资料承担责任）</w:t>
      </w:r>
    </w:p>
    <w:p>
      <w:pPr>
        <w:pStyle w:val="187"/>
        <w:widowControl/>
        <w:spacing w:line="360" w:lineRule="auto"/>
        <w:ind w:left="420" w:leftChars="20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详见综合评审公告</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通过报名投标人应根据本公告要求，在规定的投标截止时间前对采购项目进行投标，同时按本公告要求完整、真实、准确地填写并上传</w:t>
      </w:r>
      <w:r>
        <w:rPr>
          <w:rFonts w:hint="eastAsia" w:ascii="宋体" w:hAnsi="宋体" w:cs="宋体"/>
          <w:color w:val="000000" w:themeColor="text1"/>
          <w:szCs w:val="21"/>
          <w14:textFill>
            <w14:solidFill>
              <w14:schemeClr w14:val="tx1"/>
            </w14:solidFill>
          </w14:textFill>
        </w:rPr>
        <w:t>完整的投标文件（并盖上公章）</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本项目参考综合评分法确定成交人，参与评审的专家按照评分标准以及权重分配的规定就各个综合评审供应商的技术状况、商务状况及其对综合评审文件要求的响应情况进行评议和比较，评出其技术评分和商务评分、价格评分相加得出其综合得分，本项目推荐综合得分排名前三的综合评审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参与综合评审的投标人报价超过最高或最低预算金额的视为无效投标；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投标人须提供本项目要求的资质文件，如果不按公告规定或综合评审文件要求等相关规定提供符合要求的资质文件，将被视为无效投标；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投标人须对本项目采购内容进行整体投标，任何只对其中一部分内容进行的报价都被视为无效投标；</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报价表以及有报价投标人落款的报价文件必须加盖报价投标人公章，否则视为无效投标；</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投标。</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按有关法律、法规、规章属于投标无效的。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有下列情形之一的，视为串通综合评审，其投标无效：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存在单位负责人为同一人或存在控股、管理关系的不同单位参与同一综合评审项目；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不同投标人委托同一单位或者个人办理综合评审事宜；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不同投标人使用同一IP地址参与综合评审；</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不同投标人的平台招标代理服务费从同一单位或者个人的账户转出。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8.综合评审活动失败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14:textFill>
            <w14:solidFill>
              <w14:schemeClr w14:val="tx1"/>
            </w14:solidFill>
          </w14:textFill>
        </w:rPr>
        <w:sym w:font="Symbol" w:char="F05B"/>
      </w:r>
      <w:r>
        <w:rPr>
          <w:rFonts w:hint="eastAsia" w:ascii="宋体" w:hAnsi="宋体" w:cs="宋体"/>
          <w:color w:val="000000" w:themeColor="text1"/>
          <w:kern w:val="0"/>
          <w:szCs w:val="21"/>
          <w14:textFill>
            <w14:solidFill>
              <w14:schemeClr w14:val="tx1"/>
            </w14:solidFill>
          </w14:textFill>
        </w:rPr>
        <w:t>2011</w:t>
      </w:r>
      <w:r>
        <w:rPr>
          <w:rFonts w:hint="eastAsia" w:ascii="宋体" w:hAnsi="宋体" w:cs="宋体"/>
          <w:color w:val="000000" w:themeColor="text1"/>
          <w:kern w:val="0"/>
          <w:szCs w:val="21"/>
          <w14:textFill>
            <w14:solidFill>
              <w14:schemeClr w14:val="tx1"/>
            </w14:solidFill>
          </w14:textFill>
        </w:rPr>
        <w:sym w:font="Symbol" w:char="F05D"/>
      </w:r>
      <w:r>
        <w:rPr>
          <w:rFonts w:hint="eastAsia" w:ascii="宋体" w:hAnsi="宋体" w:cs="宋体"/>
          <w:color w:val="000000" w:themeColor="text1"/>
          <w:kern w:val="0"/>
          <w:szCs w:val="21"/>
          <w14:textFill>
            <w14:solidFill>
              <w14:schemeClr w14:val="tx1"/>
            </w14:solidFill>
          </w14:textFill>
        </w:rPr>
        <w:t>534号文规定的“</w:t>
      </w:r>
      <w:r>
        <w:rPr>
          <w:rFonts w:hint="eastAsia" w:ascii="宋体" w:hAnsi="宋体" w:cs="宋体"/>
          <w:b/>
          <w:bCs/>
          <w:color w:val="000000" w:themeColor="text1"/>
          <w:kern w:val="0"/>
          <w:szCs w:val="21"/>
          <w14:textFill>
            <w14:solidFill>
              <w14:schemeClr w14:val="tx1"/>
            </w14:solidFill>
          </w14:textFill>
        </w:rPr>
        <w:t>相应类别</w:t>
      </w:r>
      <w:r>
        <w:rPr>
          <w:rFonts w:hint="eastAsia" w:ascii="宋体" w:hAnsi="宋体" w:cs="宋体"/>
          <w:color w:val="000000" w:themeColor="text1"/>
          <w:kern w:val="0"/>
          <w:szCs w:val="21"/>
          <w14:textFill>
            <w14:solidFill>
              <w14:schemeClr w14:val="tx1"/>
            </w14:solidFill>
          </w14:textFill>
        </w:rPr>
        <w:t>”计算后下浮30%收取。</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成交投标人无正当理由放弃成交资格的必须按综合评审公告等相关规定缴纳相应的平台招标代理服务费。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如确实因不可抗力放弃成交资格的，应在不可抗力发生后三个工作日内予以通知采购代理机构并提供相关的证明；如逾期，采购代理机构不予退还平台招标代理服务费。</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11.联系方式</w:t>
      </w:r>
      <w:bookmarkEnd w:id="3"/>
      <w:bookmarkEnd w:id="4"/>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联系电话：0660-3388969</w:t>
      </w:r>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6" w:name="_Toc24952"/>
      <w:r>
        <w:rPr>
          <w:rFonts w:hint="eastAsia" w:ascii="宋体" w:hAnsi="宋体" w:cs="宋体"/>
          <w:b/>
          <w:bCs/>
          <w:color w:val="000000" w:themeColor="text1"/>
          <w:sz w:val="32"/>
          <w:szCs w:val="32"/>
          <w:shd w:val="clear" w:color="auto" w:fill="FFFFFF" w:themeFill="background1"/>
          <w14:textFill>
            <w14:solidFill>
              <w14:schemeClr w14:val="tx1"/>
            </w14:solidFill>
          </w14:textFill>
        </w:rPr>
        <w:t>技术规范书</w:t>
      </w:r>
      <w:bookmarkEnd w:id="6"/>
    </w:p>
    <w:p>
      <w:bookmarkStart w:id="7" w:name="_Toc311015397"/>
      <w:r>
        <w:rPr>
          <w:rFonts w:hint="eastAsia" w:ascii="宋体" w:hAnsi="宋体" w:cs="宋体"/>
          <w:b/>
          <w:bCs/>
          <w:color w:val="000000" w:themeColor="text1"/>
          <w:sz w:val="24"/>
          <w14:textFill>
            <w14:solidFill>
              <w14:schemeClr w14:val="tx1"/>
            </w14:solidFill>
          </w14:textFill>
        </w:rPr>
        <w:t>详见附件</w:t>
      </w:r>
    </w:p>
    <w:p>
      <w:pPr>
        <w:jc w:val="cente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0"/>
        <w:rPr>
          <w:rFonts w:ascii="宋体" w:hAnsi="宋体" w:cs="宋体"/>
          <w:color w:val="000000" w:themeColor="text1"/>
          <w:sz w:val="32"/>
          <w:szCs w:val="32"/>
          <w:shd w:val="clear" w:color="auto" w:fill="FFFFFF" w:themeFill="background1"/>
          <w14:textFill>
            <w14:solidFill>
              <w14:schemeClr w14:val="tx1"/>
            </w14:solidFill>
          </w14:textFill>
        </w:rPr>
      </w:pPr>
      <w:bookmarkStart w:id="8" w:name="_Toc6876"/>
      <w:r>
        <w:rPr>
          <w:rFonts w:hint="eastAsia" w:ascii="宋体" w:hAnsi="宋体" w:cs="宋体"/>
          <w:b/>
          <w:bCs/>
          <w:color w:val="000000" w:themeColor="text1"/>
          <w:sz w:val="32"/>
          <w:szCs w:val="32"/>
          <w:shd w:val="clear" w:color="auto" w:fill="FFFFFF" w:themeFill="background1"/>
          <w14:textFill>
            <w14:solidFill>
              <w14:schemeClr w14:val="tx1"/>
            </w14:solidFill>
          </w14:textFill>
        </w:rPr>
        <w:t>第三章 合同条款及格式</w:t>
      </w:r>
      <w:bookmarkEnd w:id="8"/>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ascii="宋体" w:hAnsi="宋体" w:cs="宋体"/>
          <w:color w:val="000000" w:themeColor="text1"/>
          <w:sz w:val="32"/>
          <w:szCs w:val="32"/>
          <w:highlight w:val="yellow"/>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shd w:val="clear" w:color="auto" w:fill="FFFFFF" w:themeFill="background1"/>
          <w14:textFill>
            <w14:solidFill>
              <w14:schemeClr w14:val="tx1"/>
            </w14:solidFill>
          </w14:textFill>
        </w:rPr>
        <w:t>第四章 评分标准</w:t>
      </w:r>
      <w:bookmarkEnd w:id="9"/>
    </w:p>
    <w:p>
      <w:pPr>
        <w:pStyle w:val="187"/>
        <w:widowControl/>
        <w:ind w:firstLine="0" w:firstLine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w:t>
      </w:r>
    </w:p>
    <w:p>
      <w:pPr>
        <w:spacing w:line="420" w:lineRule="exact"/>
        <w:contextualSpacing/>
        <w:rPr>
          <w:vanish/>
          <w:color w:val="000000" w:themeColor="text1"/>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ascii="宋体" w:hAnsi="宋体" w:cs="宋体"/>
                <w:sz w:val="24"/>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ascii="宋体" w:hAnsi="宋体" w:cs="宋体"/>
                <w:sz w:val="24"/>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2.</w:t>
            </w:r>
          </w:p>
        </w:tc>
        <w:tc>
          <w:tcPr>
            <w:tcW w:w="2510" w:type="dxa"/>
            <w:vAlign w:val="center"/>
          </w:tcPr>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实施方案</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对投标人所提供的实施方案施进行横向对比：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3.</w:t>
            </w:r>
          </w:p>
        </w:tc>
        <w:tc>
          <w:tcPr>
            <w:tcW w:w="2510" w:type="dxa"/>
            <w:vAlign w:val="center"/>
          </w:tcPr>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售后服务</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对投标人所提供的售后服务方案进行横向对比：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横向对比良得7分；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横向对比中得4分；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pPr>
            <w:r>
              <w:rPr>
                <w:rFonts w:hint="eastAsia" w:ascii="宋体" w:hAnsi="宋体" w:cs="宋体"/>
                <w:color w:val="000000" w:themeColor="text1"/>
                <w:szCs w:val="21"/>
                <w14:textFill>
                  <w14:solidFill>
                    <w14:schemeClr w14:val="tx1"/>
                  </w14:solidFill>
                </w14:textFill>
              </w:rPr>
              <w:t>提供2021年至2022第三方审计报告，字迹清晰完整并加盖公司签章，提供一年得3分，2年6分；其他情况或无提供不得分。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ascii="宋体" w:hAnsi="宋体"/>
                <w:color w:val="auto"/>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ascii="宋体" w:hAnsi="宋体" w:cs="宋体"/>
                <w:sz w:val="24"/>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30分）</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技术商务评分：所有评委评分分值的算术平均值（四舍五入后，</w:t>
      </w:r>
      <w:r>
        <w:rPr>
          <w:rFonts w:hint="eastAsia" w:ascii="宋体" w:hAnsi="宋体" w:cs="Arial"/>
          <w:color w:val="000000" w:themeColor="text1"/>
          <w:szCs w:val="21"/>
          <w14:textFill>
            <w14:solidFill>
              <w14:schemeClr w14:val="tx1"/>
            </w14:solidFill>
          </w14:textFill>
        </w:rPr>
        <w:t>小数点后保留两位有效数</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投标人的总得分为：综合得分（总得分）＝投标报价得分＋商务部分得分＋</w:t>
      </w:r>
      <w:r>
        <w:rPr>
          <w:rFonts w:hint="eastAsia"/>
          <w:color w:val="000000" w:themeColor="text1"/>
          <w14:textFill>
            <w14:solidFill>
              <w14:schemeClr w14:val="tx1"/>
            </w14:solidFill>
          </w14:textFill>
        </w:rPr>
        <w:t>技术部分</w:t>
      </w:r>
      <w:r>
        <w:rPr>
          <w:rFonts w:hint="eastAsia" w:ascii="宋体" w:hAnsi="宋体"/>
          <w:color w:val="000000" w:themeColor="text1"/>
          <w:szCs w:val="21"/>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第五章  投标附件</w:t>
      </w:r>
      <w:bookmarkEnd w:id="11"/>
    </w:p>
    <w:p>
      <w:pPr>
        <w:jc w:val="center"/>
        <w:rPr>
          <w:rFonts w:ascii="黑体" w:hAnsi="黑体" w:eastAsia="黑体"/>
          <w:bCs/>
          <w:sz w:val="32"/>
          <w:szCs w:val="32"/>
        </w:rPr>
      </w:pPr>
      <w:r>
        <w:rPr>
          <w:rFonts w:hint="eastAsia" w:ascii="宋体" w:hAnsi="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项目名称</w:t>
            </w:r>
          </w:p>
        </w:tc>
        <w:tc>
          <w:tcPr>
            <w:tcW w:w="4602" w:type="dxa"/>
            <w:gridSpan w:val="2"/>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包组号（如有）</w:t>
            </w:r>
          </w:p>
        </w:tc>
        <w:tc>
          <w:tcPr>
            <w:tcW w:w="1975" w:type="dxa"/>
            <w:vAlign w:val="center"/>
          </w:tcPr>
          <w:p>
            <w:pPr>
              <w:adjustRightInd w:val="0"/>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项目编号</w:t>
            </w:r>
          </w:p>
        </w:tc>
        <w:tc>
          <w:tcPr>
            <w:tcW w:w="4602" w:type="dxa"/>
            <w:gridSpan w:val="2"/>
            <w:vAlign w:val="center"/>
          </w:tcPr>
          <w:p>
            <w:pPr>
              <w:adjustRightInd w:val="0"/>
              <w:snapToGrid w:val="0"/>
              <w:jc w:val="left"/>
              <w:rPr>
                <w:rFonts w:ascii="宋体" w:hAnsi="宋体" w:cs="宋体"/>
                <w:szCs w:val="21"/>
                <w:u w:val="single"/>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领购文件日期</w:t>
            </w:r>
          </w:p>
        </w:tc>
        <w:tc>
          <w:tcPr>
            <w:tcW w:w="1975" w:type="dxa"/>
            <w:vAlign w:val="center"/>
          </w:tcPr>
          <w:p>
            <w:pPr>
              <w:adjustRightInd w:val="0"/>
              <w:snapToGrid w:val="0"/>
              <w:jc w:val="center"/>
              <w:rPr>
                <w:rFonts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vAlign w:val="center"/>
          </w:tcPr>
          <w:p>
            <w:pPr>
              <w:adjustRightInd w:val="0"/>
              <w:snapToGrid w:val="0"/>
              <w:jc w:val="center"/>
              <w:rPr>
                <w:rFonts w:ascii="宋体" w:hAnsi="宋体" w:cs="宋体"/>
                <w:szCs w:val="21"/>
              </w:rPr>
            </w:pPr>
            <w:r>
              <w:rPr>
                <w:rFonts w:hint="eastAsia" w:ascii="宋体" w:hAnsi="宋体" w:cs="宋体"/>
                <w:szCs w:val="21"/>
              </w:rPr>
              <w:t>单位信息</w:t>
            </w: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单位名称</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单位地址</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邮箱</w:t>
            </w:r>
          </w:p>
          <w:p>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b/>
                <w:bCs/>
                <w:szCs w:val="21"/>
              </w:rPr>
              <w:t>非常重要！请确保正确</w:t>
            </w:r>
            <w:r>
              <w:rPr>
                <w:rFonts w:hint="eastAsia" w:ascii="宋体" w:hAnsi="宋体" w:cs="宋体"/>
                <w:szCs w:val="21"/>
              </w:rPr>
              <w:t>）</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法定代表人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法定代表人联系电话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项目联系人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项目联系人联系电话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vAlign w:val="center"/>
          </w:tcPr>
          <w:p>
            <w:pPr>
              <w:adjustRightInd w:val="0"/>
              <w:snapToGrid w:val="0"/>
              <w:jc w:val="center"/>
              <w:rPr>
                <w:rFonts w:ascii="宋体" w:hAnsi="宋体" w:cs="宋体"/>
                <w:szCs w:val="21"/>
              </w:rPr>
            </w:pPr>
          </w:p>
        </w:tc>
        <w:tc>
          <w:tcPr>
            <w:tcW w:w="4602" w:type="dxa"/>
            <w:gridSpan w:val="2"/>
            <w:vAlign w:val="center"/>
          </w:tcPr>
          <w:p>
            <w:pPr>
              <w:adjustRightInd w:val="0"/>
              <w:snapToGrid w:val="0"/>
              <w:jc w:val="center"/>
              <w:rPr>
                <w:rFonts w:ascii="宋体" w:hAnsi="宋体" w:cs="宋体"/>
                <w:szCs w:val="21"/>
              </w:rPr>
            </w:pPr>
            <w:r>
              <w:rPr>
                <w:rFonts w:hint="eastAsia" w:ascii="宋体" w:hAnsi="宋体" w:cs="宋体"/>
                <w:szCs w:val="21"/>
              </w:rPr>
              <w:t>纳税人识别号或统一社会信用代码(必填)</w:t>
            </w:r>
          </w:p>
          <w:p>
            <w:pPr>
              <w:adjustRightInd w:val="0"/>
              <w:snapToGrid w:val="0"/>
              <w:jc w:val="center"/>
              <w:rPr>
                <w:rFonts w:ascii="宋体" w:hAnsi="宋体" w:cs="宋体"/>
                <w:szCs w:val="21"/>
              </w:rPr>
            </w:pPr>
            <w:r>
              <w:rPr>
                <w:rFonts w:hint="eastAsia" w:ascii="宋体" w:hAnsi="宋体" w:cs="宋体"/>
                <w:szCs w:val="21"/>
              </w:rPr>
              <w:t>（注：个人、没有纳税人识别号或统一社会信用代码的政府机构、事业单位除外）</w:t>
            </w:r>
          </w:p>
        </w:tc>
        <w:tc>
          <w:tcPr>
            <w:tcW w:w="4107" w:type="dxa"/>
            <w:gridSpan w:val="2"/>
            <w:vAlign w:val="center"/>
          </w:tcPr>
          <w:p>
            <w:pPr>
              <w:adjustRightInd w:val="0"/>
              <w:snapToGrid w:val="0"/>
              <w:jc w:val="left"/>
              <w:rPr>
                <w:rFonts w:ascii="宋体" w:hAnsi="宋体"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温馨提示</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声明</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1.采购代理机构发送本项目相关文件至领购文件单位的上述“邮箱”，视为有效送达。</w:t>
            </w:r>
          </w:p>
          <w:p>
            <w:pPr>
              <w:adjustRightInd w:val="0"/>
              <w:snapToGrid w:val="0"/>
              <w:rPr>
                <w:rFonts w:ascii="宋体" w:hAnsi="宋体" w:cs="宋体"/>
                <w:szCs w:val="21"/>
              </w:rPr>
            </w:pPr>
            <w:r>
              <w:rPr>
                <w:rFonts w:hint="eastAsia" w:ascii="宋体" w:hAnsi="宋体" w:cs="宋体"/>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ascii="宋体" w:hAnsi="宋体" w:cs="宋体"/>
          <w:color w:val="000000" w:themeColor="text1"/>
          <w:spacing w:val="4"/>
          <w:szCs w:val="21"/>
          <w:u w:val="single"/>
          <w14:textFill>
            <w14:solidFill>
              <w14:schemeClr w14:val="tx1"/>
            </w14:solidFill>
          </w14:textFill>
        </w:rPr>
      </w:pPr>
      <w:r>
        <w:rPr>
          <w:rFonts w:hint="eastAsia" w:ascii="宋体" w:hAnsi="宋体" w:cs="宋体"/>
          <w:b/>
          <w:bCs/>
          <w:color w:val="000000"/>
          <w:szCs w:val="21"/>
        </w:rPr>
        <w:t>供应商加盖单位公章：</w:t>
      </w:r>
      <w:r>
        <w:rPr>
          <w:rFonts w:hint="eastAsia" w:ascii="宋体" w:hAnsi="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line="360" w:lineRule="auto"/>
        <w:jc w:val="center"/>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陆丰甲湖湾电厂办公云平台安全性能提升项目</w:t>
      </w:r>
      <w:r>
        <w:rPr>
          <w:rFonts w:hint="eastAsia" w:ascii="宋体" w:hAnsi="宋体" w:cs="宋体"/>
          <w:color w:val="000000" w:themeColor="text1"/>
          <w:szCs w:val="21"/>
          <w:shd w:val="clear" w:color="auto" w:fill="FFFFFF" w:themeFill="background1"/>
          <w14:textFill>
            <w14:solidFill>
              <w14:schemeClr w14:val="tx1"/>
            </w14:solidFill>
          </w14:textFill>
        </w:rPr>
        <w:t>的综合评审公告，本公司（企业）愿意参加综合评审，并承诺：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rPr>
          <w:rFonts w:ascii="宋体" w:hAnsi="宋体" w:cs="宋体"/>
          <w:b/>
          <w:color w:val="000000" w:themeColor="text1"/>
          <w:sz w:val="32"/>
          <w:szCs w:val="32"/>
          <w:shd w:val="clear" w:color="auto" w:fill="FFFFFF" w:themeFill="background1"/>
          <w14:textFill>
            <w14:solidFill>
              <w14:schemeClr w14:val="tx1"/>
            </w14:solidFill>
          </w14:textFill>
        </w:rPr>
      </w:pPr>
      <w:bookmarkStart w:id="12" w:name="_Toc21777"/>
      <w:bookmarkStart w:id="13" w:name="_Toc16084"/>
      <w:r>
        <w:rPr>
          <w:rFonts w:hint="eastAsia" w:ascii="宋体" w:hAnsi="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ascii="宋体" w:hAnsi="宋体" w:cs="宋体"/>
          <w:b/>
          <w:color w:val="000000"/>
          <w:sz w:val="24"/>
        </w:rPr>
      </w:pPr>
      <w:r>
        <w:rPr>
          <w:rFonts w:hint="eastAsia" w:ascii="宋体" w:hAnsi="宋体" w:cs="宋体"/>
          <w:b/>
          <w:color w:val="000000"/>
          <w:sz w:val="24"/>
        </w:rPr>
        <w:t>汕尾采鸿项目咨询有限公司：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本公司</w:t>
      </w:r>
      <w:r>
        <w:rPr>
          <w:rFonts w:hint="eastAsia" w:ascii="宋体" w:hAnsi="宋体" w:cs="宋体"/>
          <w:color w:val="000000"/>
          <w:szCs w:val="21"/>
          <w:u w:val="single"/>
        </w:rPr>
        <w:t xml:space="preserve">       (投标人名称)      </w:t>
      </w:r>
      <w:r>
        <w:rPr>
          <w:rFonts w:hint="eastAsia" w:ascii="宋体" w:hAnsi="宋体" w:cs="宋体"/>
          <w:color w:val="000000"/>
          <w:szCs w:val="21"/>
        </w:rPr>
        <w:t>在参加</w:t>
      </w:r>
      <w:r>
        <w:rPr>
          <w:rFonts w:hint="eastAsia" w:ascii="宋体" w:hAnsi="宋体" w:cs="宋体"/>
          <w:color w:val="000000"/>
          <w:szCs w:val="21"/>
          <w:u w:val="single"/>
        </w:rPr>
        <w:t xml:space="preserve">       (项目名称)      </w:t>
      </w: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如我公司违反上款承诺，愿凭贵公司开出的相关通知，同意汕尾采鸿项目咨询有限公司办理支付手续，扣除我公司提交的全部投标保证金，并愿承担由此引起的一切法律责任。</w:t>
      </w:r>
    </w:p>
    <w:p>
      <w:pPr>
        <w:tabs>
          <w:tab w:val="center" w:pos="5010"/>
        </w:tabs>
        <w:spacing w:line="360" w:lineRule="auto"/>
        <w:ind w:firstLine="840" w:firstLineChars="400"/>
        <w:rPr>
          <w:rFonts w:ascii="宋体" w:hAnsi="宋体" w:cs="宋体"/>
          <w:color w:val="000000"/>
          <w:szCs w:val="21"/>
        </w:rPr>
      </w:pPr>
      <w:r>
        <w:rPr>
          <w:rFonts w:hint="eastAsia" w:ascii="宋体" w:hAnsi="宋体" w:cs="宋体"/>
          <w:color w:val="000000"/>
          <w:szCs w:val="21"/>
        </w:rPr>
        <w:t>特此承诺!</w:t>
      </w:r>
      <w:r>
        <w:rPr>
          <w:rFonts w:hint="eastAsia" w:ascii="宋体" w:hAnsi="宋体" w:cs="宋体"/>
          <w:color w:val="000000"/>
          <w:szCs w:val="21"/>
        </w:rPr>
        <w:tab/>
      </w:r>
    </w:p>
    <w:p>
      <w:pPr>
        <w:spacing w:line="360" w:lineRule="auto"/>
        <w:ind w:firstLine="840" w:firstLineChars="400"/>
        <w:rPr>
          <w:rFonts w:ascii="宋体" w:hAnsi="宋体" w:cs="宋体"/>
          <w:color w:val="000000"/>
          <w:szCs w:val="21"/>
        </w:rPr>
      </w:pPr>
    </w:p>
    <w:p>
      <w:pPr>
        <w:spacing w:line="360" w:lineRule="auto"/>
        <w:ind w:left="315"/>
        <w:rPr>
          <w:rFonts w:ascii="宋体" w:hAnsi="宋体" w:cs="宋体"/>
          <w:color w:val="000000"/>
          <w:szCs w:val="21"/>
        </w:rPr>
      </w:pPr>
      <w:r>
        <w:rPr>
          <w:rFonts w:hint="eastAsia" w:ascii="宋体" w:hAnsi="宋体" w:cs="宋体"/>
          <w:color w:val="000000"/>
          <w:szCs w:val="21"/>
        </w:rPr>
        <w:t>投标人名称(单位盖公章)：</w:t>
      </w:r>
    </w:p>
    <w:p>
      <w:pPr>
        <w:spacing w:line="360" w:lineRule="auto"/>
        <w:ind w:left="315"/>
        <w:rPr>
          <w:rFonts w:ascii="宋体" w:hAnsi="宋体" w:cs="宋体"/>
          <w:color w:val="000000"/>
          <w:szCs w:val="21"/>
        </w:rPr>
      </w:pPr>
      <w:r>
        <w:rPr>
          <w:rFonts w:hint="eastAsia" w:ascii="宋体" w:hAnsi="宋体" w:cs="宋体"/>
          <w:color w:val="000000"/>
          <w:szCs w:val="21"/>
        </w:rPr>
        <w:t>投标人地址：</w:t>
      </w:r>
    </w:p>
    <w:p>
      <w:pPr>
        <w:spacing w:line="360" w:lineRule="auto"/>
        <w:ind w:left="315"/>
        <w:rPr>
          <w:rFonts w:ascii="宋体" w:hAnsi="宋体" w:cs="宋体"/>
          <w:color w:val="000000"/>
          <w:szCs w:val="21"/>
        </w:rPr>
      </w:pPr>
      <w:r>
        <w:rPr>
          <w:rFonts w:hint="eastAsia" w:ascii="宋体" w:hAnsi="宋体" w:cs="宋体"/>
          <w:color w:val="000000"/>
          <w:szCs w:val="21"/>
        </w:rPr>
        <w:t>电话：</w:t>
      </w:r>
    </w:p>
    <w:p>
      <w:pPr>
        <w:spacing w:line="360" w:lineRule="auto"/>
        <w:ind w:left="315"/>
        <w:rPr>
          <w:rFonts w:ascii="宋体" w:hAnsi="宋体" w:cs="宋体"/>
          <w:color w:val="000000"/>
          <w:szCs w:val="21"/>
        </w:rPr>
      </w:pPr>
      <w:r>
        <w:rPr>
          <w:rFonts w:hint="eastAsia" w:ascii="宋体" w:hAnsi="宋体" w:cs="宋体"/>
          <w:color w:val="000000"/>
          <w:szCs w:val="21"/>
        </w:rPr>
        <w:t>传真：</w:t>
      </w:r>
    </w:p>
    <w:p>
      <w:pPr>
        <w:spacing w:line="360" w:lineRule="auto"/>
        <w:ind w:left="315"/>
        <w:rPr>
          <w:rFonts w:ascii="宋体" w:hAnsi="宋体" w:cs="宋体"/>
          <w:color w:val="000000"/>
          <w:szCs w:val="21"/>
        </w:rPr>
      </w:pPr>
      <w:r>
        <w:rPr>
          <w:rFonts w:hint="eastAsia" w:ascii="宋体" w:hAnsi="宋体" w:cs="宋体"/>
          <w:color w:val="000000"/>
          <w:szCs w:val="21"/>
        </w:rPr>
        <w:t>法定代表人或投标人授权代表（签名或盖个人名章）：</w:t>
      </w:r>
    </w:p>
    <w:p>
      <w:pPr>
        <w:spacing w:line="360" w:lineRule="auto"/>
        <w:ind w:left="315"/>
        <w:rPr>
          <w:rFonts w:ascii="宋体" w:hAnsi="宋体" w:cs="宋体"/>
          <w:color w:val="000000"/>
          <w:szCs w:val="21"/>
        </w:rPr>
      </w:pPr>
      <w:r>
        <w:rPr>
          <w:rFonts w:hint="eastAsia" w:ascii="宋体" w:hAnsi="宋体" w:cs="宋体"/>
          <w:color w:val="000000"/>
          <w:szCs w:val="21"/>
        </w:rPr>
        <w:t>签署日期：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ascii="宋体" w:hAnsi="宋体" w:cs="宋体"/>
          <w:b/>
          <w:sz w:val="40"/>
          <w:szCs w:val="40"/>
          <w:u w:val="single"/>
        </w:rPr>
      </w:pPr>
      <w:bookmarkStart w:id="14" w:name="_Toc435515303"/>
      <w:bookmarkStart w:id="15" w:name="_Toc435514863"/>
      <w:r>
        <w:rPr>
          <w:rFonts w:hint="eastAsia" w:ascii="宋体" w:hAnsi="宋体" w:cs="宋体"/>
          <w:b/>
          <w:sz w:val="40"/>
          <w:szCs w:val="40"/>
          <w:u w:val="single"/>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eastAsiaTheme="minorEastAsia"/>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ascii="宋体" w:hAnsi="宋体" w:cs="宋体"/>
                <w:bCs/>
                <w:szCs w:val="21"/>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招标项目名称</w:t>
            </w:r>
          </w:p>
        </w:tc>
        <w:tc>
          <w:tcPr>
            <w:tcW w:w="5618" w:type="dxa"/>
            <w:vAlign w:val="center"/>
          </w:tcPr>
          <w:p>
            <w:pPr>
              <w:jc w:val="center"/>
              <w:rPr>
                <w:rFonts w:ascii="宋体" w:hAnsi="宋体" w:cs="宋体"/>
                <w:bCs/>
                <w:szCs w:val="21"/>
              </w:rPr>
            </w:pPr>
            <w:r>
              <w:rPr>
                <w:rFonts w:hint="eastAsia" w:ascii="宋体" w:hAnsi="宋体" w:cs="宋体"/>
                <w:bCs/>
                <w:szCs w:val="21"/>
              </w:rPr>
              <w:t>陆丰甲湖湾电厂办公云平台安全性能提升项目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ascii="宋体" w:hAnsi="宋体" w:cs="宋体"/>
                <w:bCs/>
                <w:szCs w:val="21"/>
              </w:rPr>
            </w:pP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招标项目编号</w:t>
            </w:r>
          </w:p>
        </w:tc>
        <w:tc>
          <w:tcPr>
            <w:tcW w:w="5618" w:type="dxa"/>
            <w:vAlign w:val="center"/>
          </w:tcPr>
          <w:p>
            <w:pPr>
              <w:jc w:val="center"/>
              <w:rPr>
                <w:rFonts w:ascii="宋体" w:hAnsi="宋体" w:cs="宋体"/>
                <w:bCs/>
                <w:szCs w:val="21"/>
              </w:rPr>
            </w:pPr>
            <w:r>
              <w:rPr>
                <w:rFonts w:hint="eastAsia" w:ascii="宋体" w:hAnsi="宋体" w:cs="宋体"/>
                <w:bCs/>
                <w:szCs w:val="21"/>
              </w:rPr>
              <w:t>JHWGC-20240401-01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ascii="宋体" w:hAnsi="宋体" w:cs="宋体"/>
                <w:szCs w:val="21"/>
              </w:rPr>
            </w:pPr>
            <w:r>
              <w:rPr>
                <w:rFonts w:hint="eastAsia" w:ascii="宋体" w:hAnsi="宋体" w:cs="宋体"/>
                <w:szCs w:val="21"/>
              </w:rPr>
              <w:t>投标总报价合计（含税</w:t>
            </w:r>
            <w:r>
              <w:rPr>
                <w:rFonts w:hint="eastAsia" w:ascii="宋体" w:hAnsi="宋体" w:cs="宋体"/>
                <w:szCs w:val="21"/>
                <w:u w:val="single"/>
              </w:rPr>
              <w:t xml:space="preserve">     </w:t>
            </w:r>
            <w:r>
              <w:rPr>
                <w:rFonts w:hint="eastAsia" w:ascii="宋体" w:hAnsi="宋体" w:cs="宋体"/>
                <w:szCs w:val="21"/>
              </w:rPr>
              <w:t>%增值税）：人民币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(含税价)</w:t>
            </w:r>
          </w:p>
        </w:tc>
      </w:tr>
    </w:tbl>
    <w:p>
      <w:pPr>
        <w:spacing w:line="360" w:lineRule="auto"/>
        <w:rPr>
          <w:rFonts w:ascii="宋体" w:hAnsi="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1、报价已包含完成本项目所需的人工费、机械费、材料费、设备费、管理费、保险费、设计费、运输费、安全措施费、进退场费、项目风险费、利润、税金及合同实施过程中应预见和不可预见费用等。所有价格均应以人民币报价，含</w:t>
            </w:r>
            <w:r>
              <w:rPr>
                <w:rFonts w:hint="eastAsia" w:ascii="宋体" w:hAnsi="宋体" w:cs="宋体"/>
                <w:szCs w:val="21"/>
                <w:u w:val="single"/>
              </w:rPr>
              <w:t xml:space="preserve">   </w:t>
            </w:r>
            <w:r>
              <w:rPr>
                <w:rFonts w:hint="eastAsia" w:ascii="宋体" w:hAnsi="宋体" w:cs="宋体"/>
                <w:szCs w:val="21"/>
              </w:rPr>
              <w:t>%税率的增值税专用发票，金额单位为元。</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color w:val="FF0000"/>
                <w:szCs w:val="21"/>
                <w:lang w:val="en-GB"/>
              </w:rPr>
              <w:t>2、</w:t>
            </w:r>
            <w:r>
              <w:rPr>
                <w:rFonts w:hint="eastAsia" w:ascii="宋体" w:hAnsi="宋体" w:cs="宋体"/>
                <w:color w:val="FF0000"/>
                <w:szCs w:val="21"/>
              </w:rPr>
              <w:t>付款方式：项目完工经招标方验收合格后，凭借发票付款95%，留5%质保金，质保期为验收合格后12个月</w:t>
            </w:r>
            <w:r>
              <w:rPr>
                <w:rFonts w:hint="eastAsia" w:ascii="宋体" w:hAnsi="宋体" w:cs="宋体"/>
                <w:bCs/>
                <w:color w:val="FF0000"/>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4、自报价之日起报价有效期为90日。</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5、</w:t>
            </w:r>
            <w:r>
              <w:rPr>
                <w:rFonts w:hint="eastAsia" w:ascii="宋体" w:hAnsi="宋体" w:cs="宋体"/>
                <w:bCs/>
                <w:szCs w:val="21"/>
              </w:rPr>
              <w:t>如与技术规范要求有差异，请在投标资质文件和报价单后附差异说明</w:t>
            </w:r>
            <w:r>
              <w:rPr>
                <w:rFonts w:hint="eastAsia" w:ascii="宋体" w:hAnsi="宋体" w:cs="宋体"/>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6、</w:t>
            </w:r>
            <w:r>
              <w:rPr>
                <w:rFonts w:hint="eastAsia" w:ascii="宋体" w:hAnsi="宋体" w:cs="宋体"/>
                <w:bCs/>
                <w:szCs w:val="21"/>
              </w:rPr>
              <w:t>分项报价，请在本报价函后附相关分项报价，如项目涉及安全措施，则分项报价中单列安全措施费用（不低于总价1.5%）一栏。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7、项目所在地：</w:t>
            </w:r>
            <w:r>
              <w:rPr>
                <w:rFonts w:hint="eastAsia" w:ascii="宋体" w:hAnsi="宋体"/>
                <w:szCs w:val="21"/>
                <w:lang w:val="en-GB"/>
              </w:rPr>
              <w:t>广东省陆丰市湖东镇宝丽华甲湖湾能源基地。（具体卸货地点由</w:t>
            </w:r>
            <w:r>
              <w:rPr>
                <w:rFonts w:hint="eastAsia" w:ascii="宋体" w:hAnsi="宋体"/>
                <w:szCs w:val="21"/>
              </w:rPr>
              <w:t>招标</w:t>
            </w:r>
            <w:r>
              <w:rPr>
                <w:rFonts w:hint="eastAsia" w:ascii="宋体" w:hAnsi="宋体"/>
                <w:szCs w:val="21"/>
                <w:lang w:val="en-GB"/>
              </w:rPr>
              <w:t>方指定）</w:t>
            </w:r>
          </w:p>
        </w:tc>
      </w:tr>
    </w:tbl>
    <w:p>
      <w:pPr>
        <w:spacing w:line="360" w:lineRule="auto"/>
        <w:rPr>
          <w:rFonts w:ascii="宋体" w:hAnsi="宋体" w:cs="宋体"/>
          <w:sz w:val="22"/>
          <w:szCs w:val="22"/>
        </w:rPr>
      </w:pPr>
    </w:p>
    <w:p>
      <w:pPr>
        <w:adjustRightInd w:val="0"/>
        <w:snapToGrid w:val="0"/>
        <w:spacing w:line="360" w:lineRule="auto"/>
        <w:rPr>
          <w:rFonts w:ascii="宋体" w:hAnsi="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adjustRightInd w:val="0"/>
        <w:snapToGrid w:val="0"/>
        <w:spacing w:line="480" w:lineRule="auto"/>
        <w:rPr>
          <w:rFonts w:ascii="宋体" w:hAnsi="宋体" w:cs="宋体"/>
          <w:szCs w:val="21"/>
        </w:rPr>
      </w:pPr>
      <w:bookmarkStart w:id="16" w:name="_Hlk42010658"/>
      <w:r>
        <w:rPr>
          <w:rFonts w:hint="eastAsia" w:ascii="宋体" w:hAnsi="宋体" w:cs="宋体"/>
          <w:szCs w:val="21"/>
        </w:rPr>
        <w:t>招标方：陆丰宝丽华新能源电力有限公司</w:t>
      </w:r>
    </w:p>
    <w:p>
      <w:pPr>
        <w:adjustRightInd w:val="0"/>
        <w:snapToGrid w:val="0"/>
        <w:spacing w:line="480" w:lineRule="auto"/>
        <w:rPr>
          <w:rFonts w:ascii="宋体" w:hAnsi="宋体" w:cs="宋体"/>
          <w:szCs w:val="21"/>
          <w:u w:val="single"/>
        </w:rPr>
      </w:pPr>
      <w:r>
        <w:rPr>
          <w:rFonts w:hint="eastAsia" w:ascii="宋体" w:hAnsi="宋体" w:cs="宋体"/>
          <w:szCs w:val="21"/>
        </w:rPr>
        <w:t>投标方（盖公章）：</w:t>
      </w: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rPr>
        <w:t>报价日期：       年   月    日</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ascii="宋体" w:hAnsi="宋体" w:cs="宋体"/>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p>
      <w:pPr>
        <w:jc w:val="center"/>
        <w:rPr>
          <w:rFonts w:ascii="宋体" w:hAnsi="宋体" w:cs="宋体"/>
          <w:b/>
          <w:bCs/>
          <w:sz w:val="32"/>
          <w:szCs w:val="32"/>
        </w:rPr>
      </w:pPr>
      <w:r>
        <w:rPr>
          <w:rFonts w:hint="eastAsia" w:ascii="宋体" w:hAnsi="宋体" w:cs="宋体"/>
          <w:b/>
          <w:bCs/>
          <w:sz w:val="32"/>
          <w:szCs w:val="32"/>
        </w:rPr>
        <w:t>分项报价（如有）</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报名资格响应表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szCs w:val="21"/>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填写招标代理服务费承诺书；</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填写文件领购登记表；</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报名供应商须提供缴纳本项目投标保证金凭证。</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rPr>
                <w:rFonts w:ascii="宋体" w:hAnsi="宋体"/>
                <w:szCs w:val="21"/>
              </w:rPr>
            </w:pPr>
            <w:r>
              <w:rPr>
                <w:rFonts w:hint="eastAsia" w:ascii="宋体" w:hAnsi="宋体"/>
                <w:szCs w:val="21"/>
              </w:rPr>
              <w:t>备注：按照综合评审公告要求提供</w:t>
            </w:r>
          </w:p>
        </w:tc>
      </w:tr>
    </w:tbl>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实施方案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售后服务</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管理体系认证</w:t>
            </w:r>
          </w:p>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2021年至今类似业绩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bookmarkStart w:id="17" w:name="_GoBack"/>
      <w:bookmarkEnd w:id="17"/>
    </w:p>
    <w:p>
      <w:pPr>
        <w:spacing w:before="156"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本表中评审因素与“第四章评分标准”中的评审因素描述不一致的，以“第四章评分标准”的为准。</w:t>
      </w:r>
    </w:p>
    <w:p>
      <w:pPr>
        <w:pStyle w:val="53"/>
        <w:ind w:left="420" w:leftChars="200" w:firstLine="0"/>
      </w:pPr>
    </w:p>
    <w:p>
      <w:pPr>
        <w:spacing w:line="360" w:lineRule="auto"/>
        <w:ind w:left="315"/>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陆丰甲湖湾电厂办公云平台安全性能提升项目</w:t>
      </w:r>
      <w:r>
        <w:rPr>
          <w:rFonts w:hint="eastAsia" w:ascii="宋体" w:hAnsi="宋体" w:cs="宋体"/>
          <w:b/>
          <w:color w:val="000000" w:themeColor="text1"/>
          <w:u w:val="single"/>
          <w:shd w:val="clear" w:color="auto" w:fill="FFFFFF" w:themeFill="background1"/>
          <w14:textFill>
            <w14:solidFill>
              <w14:schemeClr w14:val="tx1"/>
            </w14:solidFill>
          </w14:textFill>
        </w:rPr>
        <w:t>、JHWGC-20240401-01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67A74"/>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3B32"/>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3F6C"/>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1DD"/>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3BB6"/>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3110B7"/>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61631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9E29E8"/>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7CA7131"/>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096E77"/>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字符"/>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字符"/>
    <w:basedOn w:val="46"/>
    <w:link w:val="2"/>
    <w:autoRedefine/>
    <w:qFormat/>
    <w:uiPriority w:val="9"/>
    <w:rPr>
      <w:rFonts w:ascii="Calibri" w:hAnsi="Calibri" w:eastAsia="宋体" w:cs="Times New Roman"/>
      <w:b/>
      <w:bCs/>
      <w:kern w:val="44"/>
      <w:sz w:val="44"/>
      <w:szCs w:val="44"/>
    </w:rPr>
  </w:style>
  <w:style w:type="character" w:customStyle="1" w:styleId="56">
    <w:name w:val="标题 2 字符"/>
    <w:basedOn w:val="46"/>
    <w:link w:val="3"/>
    <w:autoRedefine/>
    <w:qFormat/>
    <w:uiPriority w:val="0"/>
    <w:rPr>
      <w:rFonts w:ascii="Arial" w:hAnsi="Arial" w:eastAsia="黑体" w:cs="Times New Roman"/>
      <w:b/>
      <w:bCs/>
      <w:sz w:val="32"/>
      <w:szCs w:val="32"/>
    </w:rPr>
  </w:style>
  <w:style w:type="character" w:customStyle="1" w:styleId="57">
    <w:name w:val="标题 3 字符"/>
    <w:basedOn w:val="46"/>
    <w:link w:val="4"/>
    <w:autoRedefine/>
    <w:qFormat/>
    <w:uiPriority w:val="9"/>
    <w:rPr>
      <w:rFonts w:ascii="Calibri" w:hAnsi="Calibri" w:eastAsia="宋体" w:cs="Times New Roman"/>
      <w:b/>
      <w:bCs/>
      <w:sz w:val="32"/>
      <w:szCs w:val="32"/>
    </w:rPr>
  </w:style>
  <w:style w:type="character" w:customStyle="1" w:styleId="58">
    <w:name w:val="标题 5 字符"/>
    <w:basedOn w:val="46"/>
    <w:link w:val="7"/>
    <w:autoRedefine/>
    <w:qFormat/>
    <w:uiPriority w:val="0"/>
    <w:rPr>
      <w:rFonts w:ascii="Times New Roman" w:hAnsi="Times New Roman" w:eastAsia="宋体" w:cs="Times New Roman"/>
      <w:b/>
      <w:kern w:val="2"/>
      <w:sz w:val="28"/>
    </w:rPr>
  </w:style>
  <w:style w:type="character" w:customStyle="1" w:styleId="59">
    <w:name w:val="标题 6 字符"/>
    <w:basedOn w:val="46"/>
    <w:link w:val="8"/>
    <w:autoRedefine/>
    <w:qFormat/>
    <w:uiPriority w:val="0"/>
    <w:rPr>
      <w:rFonts w:ascii="Arial" w:hAnsi="Arial" w:eastAsia="黑体" w:cs="Times New Roman"/>
      <w:b/>
      <w:kern w:val="2"/>
      <w:sz w:val="24"/>
    </w:rPr>
  </w:style>
  <w:style w:type="character" w:customStyle="1" w:styleId="60">
    <w:name w:val="标题 7 字符"/>
    <w:basedOn w:val="46"/>
    <w:link w:val="9"/>
    <w:autoRedefine/>
    <w:qFormat/>
    <w:uiPriority w:val="0"/>
    <w:rPr>
      <w:rFonts w:ascii="Times New Roman" w:hAnsi="Times New Roman" w:eastAsia="宋体" w:cs="Times New Roman"/>
      <w:b/>
      <w:kern w:val="2"/>
      <w:sz w:val="24"/>
    </w:rPr>
  </w:style>
  <w:style w:type="character" w:customStyle="1" w:styleId="61">
    <w:name w:val="标题 8 字符"/>
    <w:basedOn w:val="46"/>
    <w:link w:val="10"/>
    <w:autoRedefine/>
    <w:qFormat/>
    <w:uiPriority w:val="0"/>
    <w:rPr>
      <w:rFonts w:ascii="Arial" w:hAnsi="Arial" w:eastAsia="黑体" w:cs="Times New Roman"/>
      <w:kern w:val="2"/>
      <w:sz w:val="24"/>
    </w:rPr>
  </w:style>
  <w:style w:type="character" w:customStyle="1" w:styleId="62">
    <w:name w:val="标题 9 字符"/>
    <w:basedOn w:val="46"/>
    <w:link w:val="11"/>
    <w:autoRedefine/>
    <w:qFormat/>
    <w:uiPriority w:val="0"/>
    <w:rPr>
      <w:rFonts w:ascii="Arial" w:hAnsi="Arial" w:eastAsia="黑体" w:cs="Times New Roman"/>
      <w:kern w:val="2"/>
      <w:sz w:val="21"/>
    </w:rPr>
  </w:style>
  <w:style w:type="character" w:customStyle="1" w:styleId="63">
    <w:name w:val="批注文字 字符1"/>
    <w:link w:val="14"/>
    <w:autoRedefine/>
    <w:qFormat/>
    <w:locked/>
    <w:uiPriority w:val="0"/>
    <w:rPr>
      <w:rFonts w:ascii="Calibri" w:hAnsi="Calibri" w:eastAsia="宋体" w:cs="Times New Roman"/>
      <w:kern w:val="0"/>
      <w:sz w:val="20"/>
      <w:szCs w:val="24"/>
    </w:rPr>
  </w:style>
  <w:style w:type="character" w:customStyle="1" w:styleId="64">
    <w:name w:val="正文文本 字符"/>
    <w:basedOn w:val="46"/>
    <w:link w:val="16"/>
    <w:autoRedefine/>
    <w:qFormat/>
    <w:uiPriority w:val="1"/>
    <w:rPr>
      <w:rFonts w:ascii="Calibri" w:hAnsi="Calibri" w:eastAsia="宋体" w:cs="Times New Roman"/>
      <w:szCs w:val="24"/>
    </w:rPr>
  </w:style>
  <w:style w:type="character" w:customStyle="1" w:styleId="65">
    <w:name w:val="正文文本缩进 字符"/>
    <w:basedOn w:val="46"/>
    <w:link w:val="17"/>
    <w:autoRedefine/>
    <w:semiHidden/>
    <w:qFormat/>
    <w:uiPriority w:val="99"/>
    <w:rPr>
      <w:rFonts w:ascii="Calibri" w:hAnsi="Calibri" w:eastAsia="宋体" w:cs="Times New Roman"/>
      <w:szCs w:val="24"/>
    </w:rPr>
  </w:style>
  <w:style w:type="character" w:customStyle="1" w:styleId="66">
    <w:name w:val="纯文本 字符"/>
    <w:basedOn w:val="46"/>
    <w:link w:val="21"/>
    <w:autoRedefine/>
    <w:qFormat/>
    <w:uiPriority w:val="0"/>
    <w:rPr>
      <w:rFonts w:ascii="宋体" w:hAnsi="Courier New" w:eastAsia="宋体" w:cs="Courier New"/>
      <w:kern w:val="0"/>
      <w:sz w:val="20"/>
      <w:szCs w:val="21"/>
    </w:rPr>
  </w:style>
  <w:style w:type="character" w:customStyle="1" w:styleId="67">
    <w:name w:val="正文文本缩进 2 字符"/>
    <w:basedOn w:val="46"/>
    <w:link w:val="24"/>
    <w:autoRedefine/>
    <w:qFormat/>
    <w:uiPriority w:val="0"/>
    <w:rPr>
      <w:rFonts w:ascii="Calibri" w:hAnsi="Calibri" w:eastAsia="宋体" w:cs="Times New Roman"/>
      <w:szCs w:val="24"/>
    </w:rPr>
  </w:style>
  <w:style w:type="character" w:customStyle="1" w:styleId="68">
    <w:name w:val="批注框文本 字符"/>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字符"/>
    <w:basedOn w:val="46"/>
    <w:link w:val="26"/>
    <w:autoRedefine/>
    <w:qFormat/>
    <w:uiPriority w:val="0"/>
    <w:rPr>
      <w:rFonts w:ascii="Times New Roman" w:hAnsi="Times New Roman" w:eastAsia="宋体" w:cs="Times New Roman"/>
      <w:kern w:val="0"/>
      <w:sz w:val="18"/>
      <w:szCs w:val="18"/>
    </w:rPr>
  </w:style>
  <w:style w:type="character" w:customStyle="1" w:styleId="70">
    <w:name w:val="页眉 字符"/>
    <w:basedOn w:val="46"/>
    <w:link w:val="27"/>
    <w:autoRedefine/>
    <w:qFormat/>
    <w:uiPriority w:val="0"/>
    <w:rPr>
      <w:rFonts w:ascii="Times New Roman" w:hAnsi="Times New Roman" w:eastAsia="宋体" w:cs="Times New Roman"/>
      <w:kern w:val="0"/>
      <w:sz w:val="18"/>
      <w:szCs w:val="18"/>
    </w:rPr>
  </w:style>
  <w:style w:type="character" w:customStyle="1" w:styleId="71">
    <w:name w:val="副标题 字符"/>
    <w:basedOn w:val="46"/>
    <w:link w:val="30"/>
    <w:autoRedefine/>
    <w:qFormat/>
    <w:uiPriority w:val="11"/>
    <w:rPr>
      <w:rFonts w:ascii="Calibri" w:hAnsi="Calibri" w:eastAsia="宋体" w:cs="Times New Roman"/>
      <w:kern w:val="0"/>
      <w:sz w:val="24"/>
      <w:szCs w:val="24"/>
    </w:rPr>
  </w:style>
  <w:style w:type="character" w:customStyle="1" w:styleId="72">
    <w:name w:val="HTML 预设格式 字符"/>
    <w:basedOn w:val="46"/>
    <w:link w:val="38"/>
    <w:autoRedefine/>
    <w:semiHidden/>
    <w:qFormat/>
    <w:uiPriority w:val="99"/>
    <w:rPr>
      <w:rFonts w:ascii="宋体" w:hAnsi="宋体" w:eastAsia="仿宋" w:cs="宋体"/>
      <w:kern w:val="0"/>
      <w:sz w:val="24"/>
      <w:szCs w:val="24"/>
    </w:rPr>
  </w:style>
  <w:style w:type="character" w:customStyle="1" w:styleId="73">
    <w:name w:val="标题 字符"/>
    <w:basedOn w:val="46"/>
    <w:link w:val="40"/>
    <w:autoRedefine/>
    <w:qFormat/>
    <w:uiPriority w:val="10"/>
    <w:rPr>
      <w:rFonts w:ascii="Cambria" w:hAnsi="Cambria" w:eastAsia="宋体" w:cs="Times New Roman"/>
      <w:b/>
      <w:bCs/>
      <w:sz w:val="32"/>
      <w:szCs w:val="32"/>
    </w:rPr>
  </w:style>
  <w:style w:type="character" w:customStyle="1" w:styleId="74">
    <w:name w:val="批注主题 字符"/>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文本首行缩进 2 字符"/>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字符"/>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字符"/>
    <w:basedOn w:val="46"/>
    <w:link w:val="15"/>
    <w:autoRedefine/>
    <w:qFormat/>
    <w:uiPriority w:val="0"/>
    <w:rPr>
      <w:rFonts w:ascii="Times New Roman" w:hAnsi="Times New Roman" w:eastAsia="宋体" w:cs="Times New Roman"/>
      <w:kern w:val="2"/>
      <w:sz w:val="24"/>
    </w:rPr>
  </w:style>
  <w:style w:type="character" w:customStyle="1" w:styleId="121">
    <w:name w:val="日期 字符"/>
    <w:basedOn w:val="46"/>
    <w:link w:val="23"/>
    <w:autoRedefine/>
    <w:qFormat/>
    <w:uiPriority w:val="0"/>
    <w:rPr>
      <w:sz w:val="22"/>
      <w:szCs w:val="22"/>
      <w:lang w:eastAsia="en-US"/>
    </w:rPr>
  </w:style>
  <w:style w:type="character" w:customStyle="1" w:styleId="122">
    <w:name w:val="脚注文本 字符"/>
    <w:basedOn w:val="46"/>
    <w:link w:val="31"/>
    <w:autoRedefine/>
    <w:semiHidden/>
    <w:qFormat/>
    <w:uiPriority w:val="0"/>
    <w:rPr>
      <w:rFonts w:ascii="宋体" w:hAnsi="宋体" w:eastAsia="宋体" w:cs="Times New Roman"/>
      <w:sz w:val="18"/>
      <w:szCs w:val="18"/>
    </w:rPr>
  </w:style>
  <w:style w:type="character" w:customStyle="1" w:styleId="123">
    <w:name w:val="正文文本缩进 3 字符"/>
    <w:basedOn w:val="46"/>
    <w:link w:val="33"/>
    <w:autoRedefine/>
    <w:qFormat/>
    <w:uiPriority w:val="0"/>
    <w:rPr>
      <w:rFonts w:ascii="Times New Roman" w:hAnsi="Times New Roman" w:eastAsia="宋体" w:cs="Times New Roman"/>
      <w:kern w:val="2"/>
      <w:sz w:val="21"/>
    </w:rPr>
  </w:style>
  <w:style w:type="character" w:customStyle="1" w:styleId="124">
    <w:name w:val="正文文本 2 字符"/>
    <w:basedOn w:val="46"/>
    <w:link w:val="37"/>
    <w:autoRedefine/>
    <w:qFormat/>
    <w:uiPriority w:val="0"/>
    <w:rPr>
      <w:rFonts w:ascii="Times New Roman" w:hAnsi="Times New Roman" w:eastAsia="宋体" w:cs="Times New Roman"/>
      <w:kern w:val="2"/>
      <w:sz w:val="24"/>
    </w:rPr>
  </w:style>
  <w:style w:type="character" w:customStyle="1" w:styleId="125">
    <w:name w:val="正文文本首行缩进 字符"/>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表段落 字符"/>
    <w:link w:val="187"/>
    <w:autoRedefine/>
    <w:qFormat/>
    <w:uiPriority w:val="34"/>
    <w:rPr>
      <w:rFonts w:ascii="Calibri" w:hAnsi="Calibri"/>
      <w:kern w:val="2"/>
      <w:sz w:val="21"/>
      <w:szCs w:val="22"/>
    </w:rPr>
  </w:style>
  <w:style w:type="character" w:customStyle="1" w:styleId="198">
    <w:name w:val="正文缩进 字符"/>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1113</Words>
  <Characters>6349</Characters>
  <Lines>52</Lines>
  <Paragraphs>14</Paragraphs>
  <TotalTime>1</TotalTime>
  <ScaleCrop>false</ScaleCrop>
  <LinksUpToDate>false</LinksUpToDate>
  <CharactersWithSpaces>7448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2024-04-25T07:47:16Z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AB63EC0B47564F879AC5614CA450C25A</vt:lpwstr>
  </property>
</Properties>
</file>