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pacing w:val="40"/>
          <w:kern w:val="0"/>
          <w:sz w:val="21"/>
          <w:szCs w:val="21"/>
        </w:rPr>
      </w:pPr>
    </w:p>
    <w:p>
      <w:pPr>
        <w:jc w:val="center"/>
        <w:rPr>
          <w:rFonts w:hint="eastAsia" w:ascii="宋体" w:hAnsi="宋体"/>
          <w:spacing w:val="40"/>
          <w:kern w:val="0"/>
          <w:sz w:val="21"/>
          <w:szCs w:val="21"/>
        </w:rPr>
      </w:pPr>
    </w:p>
    <w:p>
      <w:pPr>
        <w:jc w:val="center"/>
        <w:rPr>
          <w:rFonts w:hint="eastAsia" w:ascii="宋体" w:hAnsi="宋体"/>
          <w:spacing w:val="40"/>
          <w:kern w:val="0"/>
          <w:sz w:val="21"/>
          <w:szCs w:val="21"/>
        </w:rPr>
      </w:pPr>
    </w:p>
    <w:p>
      <w:pPr>
        <w:spacing w:line="360" w:lineRule="auto"/>
        <w:jc w:val="center"/>
        <w:rPr>
          <w:rFonts w:hint="eastAsia" w:ascii="宋体" w:hAnsi="宋体"/>
          <w:spacing w:val="20"/>
          <w:sz w:val="36"/>
          <w:szCs w:val="36"/>
        </w:rPr>
      </w:pPr>
      <w:bookmarkStart w:id="0" w:name="_Hlk62541007"/>
      <w:r>
        <w:rPr>
          <w:rFonts w:hint="eastAsia" w:ascii="宋体" w:hAnsi="宋体"/>
          <w:spacing w:val="40"/>
          <w:kern w:val="0"/>
          <w:sz w:val="36"/>
          <w:szCs w:val="36"/>
        </w:rPr>
        <w:t>陆丰宝丽华新能源电力有限公司</w:t>
      </w:r>
      <w:bookmarkEnd w:id="0"/>
      <w:r>
        <w:rPr>
          <w:rFonts w:hint="eastAsia" w:ascii="宋体" w:hAnsi="宋体"/>
          <w:spacing w:val="20"/>
          <w:sz w:val="36"/>
          <w:szCs w:val="36"/>
        </w:rPr>
        <w:t>陆丰甲湖湾电厂（2×1000MW）超超临界燃煤汽轮发电机组</w:t>
      </w:r>
    </w:p>
    <w:p>
      <w:pPr>
        <w:jc w:val="center"/>
        <w:rPr>
          <w:rFonts w:hint="eastAsia"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ascii="宋体" w:hAnsi="宋体"/>
          <w:b/>
          <w:bCs/>
          <w:sz w:val="21"/>
          <w:szCs w:val="21"/>
        </w:rPr>
      </w:pPr>
    </w:p>
    <w:p>
      <w:pPr>
        <w:jc w:val="center"/>
        <w:rPr>
          <w:rFonts w:hint="eastAsia" w:ascii="宋体" w:hAnsi="宋体"/>
          <w:b/>
          <w:bCs/>
          <w:sz w:val="21"/>
          <w:szCs w:val="21"/>
        </w:rPr>
      </w:pPr>
    </w:p>
    <w:p>
      <w:pPr>
        <w:jc w:val="center"/>
        <w:rPr>
          <w:rFonts w:hint="eastAsia" w:ascii="宋体" w:hAnsi="宋体"/>
          <w:b/>
          <w:bCs/>
          <w:sz w:val="21"/>
          <w:szCs w:val="21"/>
        </w:rPr>
      </w:pPr>
    </w:p>
    <w:p>
      <w:pPr>
        <w:spacing w:line="360" w:lineRule="auto"/>
        <w:jc w:val="center"/>
        <w:rPr>
          <w:rFonts w:hint="eastAsia" w:ascii="宋体" w:hAnsi="宋体"/>
          <w:b/>
          <w:bCs/>
          <w:spacing w:val="40"/>
          <w:sz w:val="36"/>
          <w:szCs w:val="36"/>
        </w:rPr>
      </w:pPr>
      <w:r>
        <w:rPr>
          <w:rFonts w:ascii="宋体" w:hAnsi="宋体" w:cs="宋体"/>
          <w:b/>
          <w:bCs/>
          <w:spacing w:val="40"/>
          <w:sz w:val="36"/>
          <w:szCs w:val="36"/>
          <w:u w:val="single"/>
          <w:lang w:val="en-US"/>
        </w:rPr>
        <w:t xml:space="preserve">              </w:t>
      </w:r>
      <w:r>
        <w:rPr>
          <w:rFonts w:hint="eastAsia" w:ascii="宋体" w:hAnsi="宋体" w:cs="宋体"/>
          <w:b/>
          <w:bCs/>
          <w:spacing w:val="40"/>
          <w:sz w:val="36"/>
          <w:szCs w:val="36"/>
          <w:lang w:val="en-US"/>
        </w:rPr>
        <w:t>工程合同</w:t>
      </w:r>
    </w:p>
    <w:p>
      <w:pPr>
        <w:spacing w:line="360" w:lineRule="auto"/>
        <w:jc w:val="center"/>
        <w:rPr>
          <w:rFonts w:hint="eastAsia" w:ascii="宋体" w:hAnsi="宋体"/>
          <w:b/>
          <w:bCs/>
          <w:spacing w:val="40"/>
          <w:sz w:val="21"/>
          <w:szCs w:val="21"/>
        </w:rPr>
      </w:pPr>
    </w:p>
    <w:p>
      <w:pPr>
        <w:rPr>
          <w:rFonts w:hint="eastAsia" w:ascii="宋体" w:hAnsi="宋体"/>
          <w:sz w:val="21"/>
          <w:szCs w:val="21"/>
        </w:rPr>
      </w:pPr>
    </w:p>
    <w:p>
      <w:pPr>
        <w:jc w:val="center"/>
        <w:rPr>
          <w:rFonts w:hint="eastAsia" w:ascii="宋体" w:hAnsi="宋体"/>
          <w:sz w:val="21"/>
          <w:szCs w:val="21"/>
        </w:rPr>
      </w:pPr>
    </w:p>
    <w:p>
      <w:pPr>
        <w:jc w:val="center"/>
        <w:rPr>
          <w:rFonts w:hint="eastAsia" w:ascii="宋体" w:hAnsi="宋体"/>
          <w:sz w:val="21"/>
          <w:szCs w:val="21"/>
        </w:rPr>
      </w:pPr>
    </w:p>
    <w:p>
      <w:pPr>
        <w:jc w:val="center"/>
        <w:rPr>
          <w:rFonts w:hint="eastAsia" w:ascii="宋体" w:hAnsi="宋体"/>
          <w:sz w:val="21"/>
          <w:szCs w:val="21"/>
        </w:rPr>
      </w:pPr>
    </w:p>
    <w:p>
      <w:pPr>
        <w:jc w:val="center"/>
        <w:rPr>
          <w:rFonts w:hint="eastAsia"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p>
    <w:tbl>
      <w:tblPr>
        <w:tblStyle w:val="27"/>
        <w:tblW w:w="3575" w:type="pct"/>
        <w:jc w:val="center"/>
        <w:tblLayout w:type="fixed"/>
        <w:tblCellMar>
          <w:top w:w="0" w:type="dxa"/>
          <w:left w:w="108" w:type="dxa"/>
          <w:bottom w:w="0" w:type="dxa"/>
          <w:right w:w="108" w:type="dxa"/>
        </w:tblCellMar>
      </w:tblPr>
      <w:tblGrid>
        <w:gridCol w:w="1846"/>
        <w:gridCol w:w="4252"/>
      </w:tblGrid>
      <w:tr>
        <w:tblPrEx>
          <w:tblCellMar>
            <w:top w:w="0" w:type="dxa"/>
            <w:left w:w="108" w:type="dxa"/>
            <w:bottom w:w="0" w:type="dxa"/>
            <w:right w:w="108" w:type="dxa"/>
          </w:tblCellMar>
        </w:tblPrEx>
        <w:trPr>
          <w:trHeight w:val="764" w:hRule="atLeast"/>
          <w:jc w:val="center"/>
        </w:trPr>
        <w:tc>
          <w:tcPr>
            <w:tcW w:w="1514" w:type="pct"/>
            <w:shd w:val="clear" w:color="auto" w:fill="auto"/>
            <w:noWrap w:val="0"/>
            <w:vAlign w:val="center"/>
          </w:tcPr>
          <w:p>
            <w:pPr>
              <w:jc w:val="both"/>
              <w:rPr>
                <w:rFonts w:hint="eastAsia" w:ascii="宋体" w:hAnsi="宋体"/>
              </w:rPr>
            </w:pPr>
            <w:r>
              <w:rPr>
                <w:rFonts w:hint="eastAsia" w:ascii="宋体" w:hAnsi="宋体"/>
                <w:kern w:val="0"/>
              </w:rPr>
              <w:t>甲    方：</w:t>
            </w:r>
          </w:p>
        </w:tc>
        <w:tc>
          <w:tcPr>
            <w:tcW w:w="3486" w:type="pct"/>
            <w:shd w:val="clear" w:color="auto" w:fill="auto"/>
            <w:noWrap w:val="0"/>
            <w:vAlign w:val="center"/>
          </w:tcPr>
          <w:p>
            <w:pPr>
              <w:jc w:val="both"/>
              <w:rPr>
                <w:rFonts w:hint="eastAsia" w:ascii="宋体" w:hAnsi="宋体"/>
              </w:rPr>
            </w:pPr>
            <w:r>
              <w:rPr>
                <w:rFonts w:hint="eastAsia" w:ascii="宋体" w:hAnsi="宋体"/>
              </w:rPr>
              <w:t>陆丰宝丽华新能源电力有限公司</w:t>
            </w:r>
          </w:p>
        </w:tc>
      </w:tr>
      <w:tr>
        <w:tblPrEx>
          <w:tblCellMar>
            <w:top w:w="0" w:type="dxa"/>
            <w:left w:w="108" w:type="dxa"/>
            <w:bottom w:w="0" w:type="dxa"/>
            <w:right w:w="108" w:type="dxa"/>
          </w:tblCellMar>
        </w:tblPrEx>
        <w:trPr>
          <w:trHeight w:val="776" w:hRule="atLeast"/>
          <w:jc w:val="center"/>
        </w:trPr>
        <w:tc>
          <w:tcPr>
            <w:tcW w:w="1514" w:type="pct"/>
            <w:shd w:val="clear" w:color="auto" w:fill="auto"/>
            <w:noWrap w:val="0"/>
            <w:vAlign w:val="center"/>
          </w:tcPr>
          <w:p>
            <w:pPr>
              <w:jc w:val="both"/>
              <w:rPr>
                <w:rFonts w:hint="eastAsia" w:ascii="宋体" w:hAnsi="宋体"/>
              </w:rPr>
            </w:pPr>
            <w:r>
              <w:rPr>
                <w:rFonts w:hint="eastAsia" w:ascii="宋体" w:hAnsi="宋体"/>
              </w:rPr>
              <w:t>乙    方：</w:t>
            </w:r>
          </w:p>
        </w:tc>
        <w:tc>
          <w:tcPr>
            <w:tcW w:w="3486" w:type="pct"/>
            <w:shd w:val="clear" w:color="auto" w:fill="auto"/>
            <w:noWrap w:val="0"/>
            <w:vAlign w:val="center"/>
          </w:tcPr>
          <w:p>
            <w:pPr>
              <w:jc w:val="both"/>
              <w:rPr>
                <w:rFonts w:hint="eastAsia" w:ascii="宋体" w:hAnsi="宋体"/>
                <w:u w:val="single"/>
              </w:rPr>
            </w:pPr>
            <w:r>
              <w:rPr>
                <w:rFonts w:hint="eastAsia" w:ascii="宋体" w:hAnsi="宋体"/>
                <w:spacing w:val="204"/>
                <w:kern w:val="0"/>
                <w:u w:val="single"/>
                <w:fitText w:val="3360" w:id="2044534272"/>
              </w:rPr>
              <w:t>**********</w:t>
            </w:r>
            <w:r>
              <w:rPr>
                <w:rFonts w:hint="eastAsia" w:ascii="宋体" w:hAnsi="宋体"/>
                <w:spacing w:val="0"/>
                <w:kern w:val="0"/>
                <w:u w:val="single"/>
                <w:fitText w:val="3360" w:id="2044534272"/>
              </w:rPr>
              <w:t>*</w:t>
            </w:r>
          </w:p>
        </w:tc>
      </w:tr>
      <w:tr>
        <w:tblPrEx>
          <w:tblCellMar>
            <w:top w:w="0" w:type="dxa"/>
            <w:left w:w="108" w:type="dxa"/>
            <w:bottom w:w="0" w:type="dxa"/>
            <w:right w:w="108" w:type="dxa"/>
          </w:tblCellMar>
        </w:tblPrEx>
        <w:trPr>
          <w:trHeight w:val="776" w:hRule="atLeast"/>
          <w:jc w:val="center"/>
        </w:trPr>
        <w:tc>
          <w:tcPr>
            <w:tcW w:w="1514" w:type="pct"/>
            <w:shd w:val="clear" w:color="auto" w:fill="auto"/>
            <w:noWrap w:val="0"/>
            <w:vAlign w:val="center"/>
          </w:tcPr>
          <w:p>
            <w:pPr>
              <w:rPr>
                <w:rFonts w:hint="eastAsia" w:ascii="宋体" w:hAnsi="宋体"/>
                <w:kern w:val="0"/>
              </w:rPr>
            </w:pPr>
            <w:r>
              <w:rPr>
                <w:rFonts w:hint="eastAsia" w:ascii="宋体" w:hAnsi="宋体"/>
                <w:kern w:val="0"/>
              </w:rPr>
              <w:t>签订时间：</w:t>
            </w:r>
          </w:p>
        </w:tc>
        <w:tc>
          <w:tcPr>
            <w:tcW w:w="3486" w:type="pct"/>
            <w:shd w:val="clear" w:color="auto" w:fill="auto"/>
            <w:noWrap w:val="0"/>
            <w:vAlign w:val="center"/>
          </w:tcPr>
          <w:p>
            <w:pPr>
              <w:rPr>
                <w:rFonts w:hint="eastAsia" w:ascii="宋体" w:hAnsi="宋体"/>
              </w:rPr>
            </w:pPr>
            <w:r>
              <w:rPr>
                <w:rFonts w:hint="eastAsia" w:ascii="宋体" w:hAnsi="宋体"/>
                <w:spacing w:val="180"/>
                <w:kern w:val="0"/>
                <w:fitText w:val="3360" w:id="-2125664255"/>
                <w:lang w:eastAsia="zh-CN"/>
              </w:rPr>
              <w:t>二〇二四</w:t>
            </w:r>
            <w:r>
              <w:rPr>
                <w:rFonts w:hint="eastAsia" w:ascii="宋体" w:hAnsi="宋体"/>
                <w:spacing w:val="600"/>
                <w:kern w:val="0"/>
                <w:fitText w:val="3360" w:id="-2125664255"/>
              </w:rPr>
              <w:t xml:space="preserve">年 月 </w:t>
            </w:r>
            <w:r>
              <w:rPr>
                <w:rFonts w:hint="eastAsia" w:ascii="宋体" w:hAnsi="宋体"/>
                <w:spacing w:val="0"/>
                <w:kern w:val="0"/>
                <w:fitText w:val="3360" w:id="-2125664255"/>
              </w:rPr>
              <w:t>日</w:t>
            </w:r>
          </w:p>
        </w:tc>
      </w:tr>
    </w:tbl>
    <w:p>
      <w:pPr>
        <w:spacing w:line="360" w:lineRule="auto"/>
        <w:jc w:val="center"/>
        <w:rPr>
          <w:rFonts w:hint="eastAsia" w:ascii="宋体" w:hAnsi="宋体"/>
          <w:sz w:val="21"/>
          <w:szCs w:val="21"/>
        </w:rPr>
        <w:sectPr>
          <w:headerReference r:id="rId4" w:type="first"/>
          <w:footerReference r:id="rId6" w:type="first"/>
          <w:headerReference r:id="rId3" w:type="default"/>
          <w:footerReference r:id="rId5" w:type="default"/>
          <w:pgSz w:w="11906" w:h="16838"/>
          <w:pgMar w:top="1440" w:right="1797" w:bottom="1440" w:left="1797" w:header="170" w:footer="709" w:gutter="0"/>
          <w:pgNumType w:start="1"/>
          <w:cols w:space="708" w:num="1"/>
          <w:titlePg/>
          <w:docGrid w:linePitch="360" w:charSpace="0"/>
        </w:sectPr>
      </w:pPr>
    </w:p>
    <w:p>
      <w:pPr>
        <w:spacing w:line="480" w:lineRule="auto"/>
        <w:jc w:val="center"/>
        <w:rPr>
          <w:rFonts w:ascii="宋体" w:hAnsi="宋体"/>
          <w:sz w:val="21"/>
          <w:szCs w:val="21"/>
        </w:rPr>
      </w:pPr>
      <w:r>
        <w:rPr>
          <w:rFonts w:ascii="宋体" w:hAnsi="宋体"/>
          <w:sz w:val="21"/>
          <w:szCs w:val="21"/>
          <w:lang w:val="zh-CN"/>
        </w:rPr>
        <w:t>目录</w:t>
      </w:r>
    </w:p>
    <w:p>
      <w:pPr>
        <w:pStyle w:val="21"/>
        <w:spacing w:line="480" w:lineRule="auto"/>
        <w:rPr>
          <w:rFonts w:ascii="宋体" w:hAnsi="宋体"/>
          <w:sz w:val="21"/>
          <w:szCs w:val="21"/>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"_Toc106654953"</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一.</w:t>
      </w:r>
      <w:r>
        <w:rPr>
          <w:rFonts w:ascii="宋体" w:hAnsi="宋体"/>
          <w:sz w:val="21"/>
          <w:szCs w:val="21"/>
        </w:rPr>
        <w:tab/>
      </w:r>
      <w:r>
        <w:rPr>
          <w:rStyle w:val="31"/>
          <w:rFonts w:hint="eastAsia" w:ascii="宋体" w:hAnsi="宋体"/>
          <w:sz w:val="21"/>
          <w:szCs w:val="21"/>
        </w:rPr>
        <w:t>工程名称及施工范围</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_Toc106654953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"_Toc106654954"</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二.</w:t>
      </w:r>
      <w:r>
        <w:rPr>
          <w:rFonts w:ascii="宋体" w:hAnsi="宋体"/>
          <w:sz w:val="21"/>
          <w:szCs w:val="21"/>
        </w:rPr>
        <w:tab/>
      </w:r>
      <w:r>
        <w:rPr>
          <w:rStyle w:val="31"/>
          <w:rFonts w:hint="eastAsia" w:ascii="宋体" w:hAnsi="宋体"/>
          <w:sz w:val="21"/>
          <w:szCs w:val="21"/>
        </w:rPr>
        <w:t>合同工期</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_Toc106654954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"_Toc106654955"</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三.</w:t>
      </w:r>
      <w:r>
        <w:rPr>
          <w:rFonts w:ascii="宋体" w:hAnsi="宋体"/>
          <w:sz w:val="21"/>
          <w:szCs w:val="21"/>
        </w:rPr>
        <w:tab/>
      </w:r>
      <w:r>
        <w:rPr>
          <w:rStyle w:val="31"/>
          <w:rFonts w:hint="eastAsia" w:ascii="宋体" w:hAnsi="宋体"/>
          <w:sz w:val="21"/>
          <w:szCs w:val="21"/>
        </w:rPr>
        <w:t>承包方式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_Toc106654955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"_Toc106654956"</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四.</w:t>
      </w:r>
      <w:r>
        <w:rPr>
          <w:rFonts w:ascii="宋体" w:hAnsi="宋体"/>
          <w:sz w:val="21"/>
          <w:szCs w:val="21"/>
        </w:rPr>
        <w:tab/>
      </w:r>
      <w:r>
        <w:rPr>
          <w:rStyle w:val="31"/>
          <w:rFonts w:hint="eastAsia" w:ascii="宋体" w:hAnsi="宋体"/>
          <w:sz w:val="21"/>
          <w:szCs w:val="21"/>
        </w:rPr>
        <w:t>履约保证金的缴纳及退回</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_Toc106654956 \h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"_Toc106654957"</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五.</w:t>
      </w:r>
      <w:r>
        <w:rPr>
          <w:rFonts w:ascii="宋体" w:hAnsi="宋体"/>
          <w:sz w:val="21"/>
          <w:szCs w:val="21"/>
        </w:rPr>
        <w:tab/>
      </w:r>
      <w:r>
        <w:rPr>
          <w:rStyle w:val="31"/>
          <w:rFonts w:hint="eastAsia" w:ascii="宋体" w:hAnsi="宋体"/>
          <w:sz w:val="21"/>
          <w:szCs w:val="21"/>
        </w:rPr>
        <w:t>合同价款、付款方式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_Toc106654957 \h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"_Toc106654958"</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六.</w:t>
      </w:r>
      <w:r>
        <w:rPr>
          <w:rFonts w:ascii="宋体" w:hAnsi="宋体"/>
          <w:sz w:val="21"/>
          <w:szCs w:val="21"/>
        </w:rPr>
        <w:tab/>
      </w:r>
      <w:r>
        <w:rPr>
          <w:rStyle w:val="31"/>
          <w:rFonts w:hint="eastAsia" w:ascii="宋体" w:hAnsi="宋体"/>
          <w:sz w:val="21"/>
          <w:szCs w:val="21"/>
        </w:rPr>
        <w:t>验收标准及质量要求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_Toc106654958 \h </w:instrText>
      </w:r>
      <w:r>
        <w:rPr>
          <w:rFonts w:ascii="宋体" w:hAnsi="宋体"/>
          <w:sz w:val="21"/>
          <w:szCs w:val="21"/>
        </w:rPr>
        <w:fldChar w:fldCharType="separate"/>
      </w:r>
      <w:r>
        <w:rPr>
          <w:rFonts w:ascii="宋体" w:hAnsi="宋体"/>
          <w:sz w:val="21"/>
          <w:szCs w:val="21"/>
        </w:rPr>
        <w:t>4</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"_Toc106654959"</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七.</w:t>
      </w:r>
      <w:r>
        <w:rPr>
          <w:rFonts w:ascii="宋体" w:hAnsi="宋体"/>
          <w:sz w:val="21"/>
          <w:szCs w:val="21"/>
        </w:rPr>
        <w:tab/>
      </w:r>
      <w:r>
        <w:rPr>
          <w:rStyle w:val="31"/>
          <w:rFonts w:hint="eastAsia" w:ascii="宋体" w:hAnsi="宋体"/>
          <w:sz w:val="21"/>
          <w:szCs w:val="21"/>
        </w:rPr>
        <w:t>甲方责任</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_Toc106654959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"_Toc106654960"</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八.</w:t>
      </w:r>
      <w:r>
        <w:rPr>
          <w:rFonts w:ascii="宋体" w:hAnsi="宋体"/>
          <w:sz w:val="21"/>
          <w:szCs w:val="21"/>
        </w:rPr>
        <w:tab/>
      </w:r>
      <w:r>
        <w:rPr>
          <w:rStyle w:val="31"/>
          <w:rFonts w:hint="eastAsia" w:ascii="宋体" w:hAnsi="宋体"/>
          <w:sz w:val="21"/>
          <w:szCs w:val="21"/>
        </w:rPr>
        <w:t>乙方责任</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_Toc106654960 \h </w:instrText>
      </w:r>
      <w:r>
        <w:rPr>
          <w:rFonts w:ascii="宋体" w:hAnsi="宋体"/>
          <w:sz w:val="21"/>
          <w:szCs w:val="21"/>
        </w:rPr>
        <w:fldChar w:fldCharType="separate"/>
      </w:r>
      <w:r>
        <w:rPr>
          <w:rFonts w:ascii="宋体" w:hAnsi="宋体"/>
          <w:sz w:val="21"/>
          <w:szCs w:val="21"/>
        </w:rPr>
        <w:t>5</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"_Toc106654961"</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九.</w:t>
      </w:r>
      <w:r>
        <w:rPr>
          <w:rFonts w:ascii="宋体" w:hAnsi="宋体"/>
          <w:sz w:val="21"/>
          <w:szCs w:val="21"/>
        </w:rPr>
        <w:tab/>
      </w:r>
      <w:r>
        <w:rPr>
          <w:rStyle w:val="31"/>
          <w:rFonts w:hint="eastAsia" w:ascii="宋体" w:hAnsi="宋体"/>
          <w:sz w:val="21"/>
          <w:szCs w:val="21"/>
        </w:rPr>
        <w:t>知识产权</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_Toc106654961 \h </w:instrText>
      </w:r>
      <w:r>
        <w:rPr>
          <w:rFonts w:ascii="宋体" w:hAnsi="宋体"/>
          <w:sz w:val="21"/>
          <w:szCs w:val="21"/>
        </w:rPr>
        <w:fldChar w:fldCharType="separate"/>
      </w:r>
      <w:r>
        <w:rPr>
          <w:rFonts w:ascii="宋体" w:hAnsi="宋体"/>
          <w:sz w:val="21"/>
          <w:szCs w:val="21"/>
        </w:rPr>
        <w:t>7</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"_Toc106654962"</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w:t>
      </w:r>
      <w:r>
        <w:rPr>
          <w:rFonts w:ascii="宋体" w:hAnsi="宋体"/>
          <w:sz w:val="21"/>
          <w:szCs w:val="21"/>
        </w:rPr>
        <w:tab/>
      </w:r>
      <w:r>
        <w:rPr>
          <w:rStyle w:val="31"/>
          <w:rFonts w:hint="eastAsia" w:ascii="宋体" w:hAnsi="宋体"/>
          <w:sz w:val="21"/>
          <w:szCs w:val="21"/>
        </w:rPr>
        <w:t>保密条款</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_Toc106654962 \h </w:instrText>
      </w:r>
      <w:r>
        <w:rPr>
          <w:rFonts w:ascii="宋体" w:hAnsi="宋体"/>
          <w:sz w:val="21"/>
          <w:szCs w:val="21"/>
        </w:rPr>
        <w:fldChar w:fldCharType="separate"/>
      </w:r>
      <w:r>
        <w:rPr>
          <w:rFonts w:ascii="宋体" w:hAnsi="宋体"/>
          <w:sz w:val="21"/>
          <w:szCs w:val="21"/>
        </w:rPr>
        <w:t>7</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"_Toc106654963"</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十一.</w:t>
      </w:r>
      <w:r>
        <w:rPr>
          <w:rFonts w:ascii="宋体" w:hAnsi="宋体"/>
          <w:sz w:val="21"/>
          <w:szCs w:val="21"/>
        </w:rPr>
        <w:tab/>
      </w:r>
      <w:r>
        <w:rPr>
          <w:rStyle w:val="31"/>
          <w:rFonts w:hint="eastAsia" w:ascii="宋体" w:hAnsi="宋体"/>
          <w:sz w:val="21"/>
          <w:szCs w:val="21"/>
        </w:rPr>
        <w:t>违约责任</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_Toc106654963 \h </w:instrText>
      </w:r>
      <w:r>
        <w:rPr>
          <w:rFonts w:ascii="宋体" w:hAnsi="宋体"/>
          <w:sz w:val="21"/>
          <w:szCs w:val="21"/>
        </w:rPr>
        <w:fldChar w:fldCharType="separate"/>
      </w:r>
      <w:r>
        <w:rPr>
          <w:rFonts w:ascii="宋体" w:hAnsi="宋体"/>
          <w:sz w:val="21"/>
          <w:szCs w:val="21"/>
        </w:rPr>
        <w:t>8</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"_Toc106654964"</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十二.</w:t>
      </w:r>
      <w:r>
        <w:rPr>
          <w:rFonts w:ascii="宋体" w:hAnsi="宋体"/>
          <w:sz w:val="21"/>
          <w:szCs w:val="21"/>
        </w:rPr>
        <w:tab/>
      </w:r>
      <w:r>
        <w:rPr>
          <w:rStyle w:val="31"/>
          <w:rFonts w:hint="eastAsia" w:ascii="宋体" w:hAnsi="宋体"/>
          <w:sz w:val="21"/>
          <w:szCs w:val="21"/>
        </w:rPr>
        <w:t>组成合同的文件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_Toc106654964 \h </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"_Toc106654965"</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十三.</w:t>
      </w:r>
      <w:r>
        <w:rPr>
          <w:rFonts w:ascii="宋体" w:hAnsi="宋体"/>
          <w:sz w:val="21"/>
          <w:szCs w:val="21"/>
        </w:rPr>
        <w:tab/>
      </w:r>
      <w:r>
        <w:rPr>
          <w:rStyle w:val="31"/>
          <w:rFonts w:hint="eastAsia" w:ascii="宋体" w:hAnsi="宋体"/>
          <w:sz w:val="21"/>
          <w:szCs w:val="21"/>
        </w:rPr>
        <w:t>合同的变更与解除</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_Toc106654965 \h </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"_Toc106654966"</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十四.</w:t>
      </w:r>
      <w:r>
        <w:rPr>
          <w:rFonts w:ascii="宋体" w:hAnsi="宋体"/>
          <w:sz w:val="21"/>
          <w:szCs w:val="21"/>
        </w:rPr>
        <w:tab/>
      </w:r>
      <w:r>
        <w:rPr>
          <w:rStyle w:val="31"/>
          <w:rFonts w:hint="eastAsia" w:ascii="宋体" w:hAnsi="宋体"/>
          <w:sz w:val="21"/>
          <w:szCs w:val="21"/>
        </w:rPr>
        <w:t>争议解决的方式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_Toc106654966 \h </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"_Toc106654967"</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十五.</w:t>
      </w:r>
      <w:r>
        <w:rPr>
          <w:rFonts w:ascii="宋体" w:hAnsi="宋体"/>
          <w:sz w:val="21"/>
          <w:szCs w:val="21"/>
        </w:rPr>
        <w:tab/>
      </w:r>
      <w:r>
        <w:rPr>
          <w:rStyle w:val="31"/>
          <w:rFonts w:hint="eastAsia" w:ascii="宋体" w:hAnsi="宋体"/>
          <w:sz w:val="21"/>
          <w:szCs w:val="21"/>
        </w:rPr>
        <w:t>其他事项</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_Toc106654967 \h </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"_Toc106654968"</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十六.</w:t>
      </w:r>
      <w:r>
        <w:rPr>
          <w:rFonts w:ascii="宋体" w:hAnsi="宋体"/>
          <w:sz w:val="21"/>
          <w:szCs w:val="21"/>
        </w:rPr>
        <w:tab/>
      </w:r>
      <w:r>
        <w:rPr>
          <w:rStyle w:val="31"/>
          <w:rFonts w:hint="eastAsia" w:ascii="宋体" w:hAnsi="宋体"/>
          <w:sz w:val="21"/>
          <w:szCs w:val="21"/>
        </w:rPr>
        <w:t>附件</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_Toc106654968 \h </w:instrText>
      </w:r>
      <w:r>
        <w:rPr>
          <w:rFonts w:ascii="宋体" w:hAnsi="宋体"/>
          <w:sz w:val="21"/>
          <w:szCs w:val="21"/>
        </w:rPr>
        <w:fldChar w:fldCharType="separate"/>
      </w:r>
      <w:r>
        <w:rPr>
          <w:rFonts w:ascii="宋体" w:hAnsi="宋体"/>
          <w:sz w:val="21"/>
          <w:szCs w:val="21"/>
        </w:rPr>
        <w:t>10</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"_Toc106654969"</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附件</w:t>
      </w:r>
      <w:r>
        <w:rPr>
          <w:rStyle w:val="31"/>
          <w:rFonts w:ascii="宋体" w:hAnsi="宋体"/>
          <w:sz w:val="21"/>
          <w:szCs w:val="21"/>
        </w:rPr>
        <w:t>1</w:t>
      </w:r>
      <w:r>
        <w:rPr>
          <w:rStyle w:val="31"/>
          <w:rFonts w:hint="eastAsia" w:ascii="宋体" w:hAnsi="宋体"/>
          <w:sz w:val="21"/>
          <w:szCs w:val="21"/>
        </w:rPr>
        <w:t>：【技术要求】</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_Toc106654969 \h </w:instrText>
      </w:r>
      <w:r>
        <w:rPr>
          <w:rFonts w:ascii="宋体" w:hAnsi="宋体"/>
          <w:sz w:val="21"/>
          <w:szCs w:val="21"/>
        </w:rPr>
        <w:fldChar w:fldCharType="separate"/>
      </w:r>
      <w:r>
        <w:rPr>
          <w:rFonts w:ascii="宋体" w:hAnsi="宋体"/>
          <w:sz w:val="21"/>
          <w:szCs w:val="21"/>
        </w:rPr>
        <w:t>13</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Style w:val="31"/>
          <w:rFonts w:ascii="宋体" w:hAnsi="宋体"/>
          <w:sz w:val="21"/>
          <w:szCs w:val="21"/>
        </w:rPr>
        <w:fldChar w:fldCharType="begin"/>
      </w:r>
      <w:r>
        <w:rPr>
          <w:rStyle w:val="31"/>
          <w:rFonts w:ascii="宋体" w:hAnsi="宋体"/>
          <w:sz w:val="21"/>
          <w:szCs w:val="21"/>
        </w:rPr>
        <w:instrText xml:space="preserve"> </w:instrText>
      </w:r>
      <w:r>
        <w:rPr>
          <w:rFonts w:ascii="宋体" w:hAnsi="宋体"/>
          <w:sz w:val="21"/>
          <w:szCs w:val="21"/>
        </w:rPr>
        <w:instrText xml:space="preserve">HYPERLINK \l "_Toc106654970"</w:instrText>
      </w:r>
      <w:r>
        <w:rPr>
          <w:rStyle w:val="31"/>
          <w:rFonts w:ascii="宋体" w:hAnsi="宋体"/>
          <w:sz w:val="21"/>
          <w:szCs w:val="21"/>
        </w:rPr>
        <w:instrText xml:space="preserve"> </w:instrText>
      </w:r>
      <w:r>
        <w:rPr>
          <w:rStyle w:val="31"/>
          <w:rFonts w:ascii="宋体" w:hAnsi="宋体"/>
          <w:sz w:val="21"/>
          <w:szCs w:val="21"/>
        </w:rPr>
        <w:fldChar w:fldCharType="separate"/>
      </w:r>
      <w:r>
        <w:rPr>
          <w:rStyle w:val="31"/>
          <w:rFonts w:hint="eastAsia" w:ascii="宋体" w:hAnsi="宋体"/>
          <w:sz w:val="21"/>
          <w:szCs w:val="21"/>
        </w:rPr>
        <w:t>附件</w:t>
      </w:r>
      <w:r>
        <w:rPr>
          <w:rStyle w:val="31"/>
          <w:rFonts w:ascii="宋体" w:hAnsi="宋体"/>
          <w:sz w:val="21"/>
          <w:szCs w:val="21"/>
        </w:rPr>
        <w:t>2</w:t>
      </w:r>
      <w:r>
        <w:rPr>
          <w:rStyle w:val="31"/>
          <w:rFonts w:hint="eastAsia" w:ascii="宋体" w:hAnsi="宋体"/>
          <w:sz w:val="21"/>
          <w:szCs w:val="21"/>
        </w:rPr>
        <w:t>：【安健环管理协议书】</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_Toc106654970 \h </w:instrText>
      </w:r>
      <w:r>
        <w:rPr>
          <w:rFonts w:ascii="宋体" w:hAnsi="宋体"/>
          <w:sz w:val="21"/>
          <w:szCs w:val="21"/>
        </w:rPr>
        <w:fldChar w:fldCharType="separate"/>
      </w:r>
      <w:r>
        <w:rPr>
          <w:rFonts w:ascii="宋体" w:hAnsi="宋体"/>
          <w:sz w:val="21"/>
          <w:szCs w:val="21"/>
        </w:rPr>
        <w:t>13</w:t>
      </w:r>
      <w:r>
        <w:rPr>
          <w:rFonts w:ascii="宋体" w:hAnsi="宋体"/>
          <w:sz w:val="21"/>
          <w:szCs w:val="21"/>
        </w:rPr>
        <w:fldChar w:fldCharType="end"/>
      </w:r>
      <w:r>
        <w:rPr>
          <w:rStyle w:val="31"/>
          <w:rFonts w:ascii="宋体" w:hAnsi="宋体"/>
          <w:sz w:val="21"/>
          <w:szCs w:val="21"/>
        </w:rPr>
        <w:fldChar w:fldCharType="end"/>
      </w:r>
    </w:p>
    <w:p>
      <w:pPr>
        <w:pStyle w:val="21"/>
        <w:spacing w:line="480" w:lineRule="auto"/>
        <w:rPr>
          <w:rFonts w:ascii="宋体" w:hAnsi="宋体"/>
          <w:sz w:val="21"/>
          <w:szCs w:val="21"/>
        </w:rPr>
      </w:pPr>
      <w:r>
        <w:rPr>
          <w:rFonts w:ascii="宋体" w:hAnsi="宋体"/>
          <w:sz w:val="21"/>
          <w:szCs w:val="21"/>
          <w:lang w:val="zh-CN"/>
        </w:rPr>
        <w:fldChar w:fldCharType="end"/>
      </w:r>
    </w:p>
    <w:p>
      <w:pPr>
        <w:rPr>
          <w:lang w:val="en-US"/>
        </w:rPr>
      </w:pPr>
    </w:p>
    <w:p>
      <w:pPr>
        <w:rPr>
          <w:lang w:val="en-US"/>
        </w:rPr>
      </w:pPr>
    </w:p>
    <w:p>
      <w:pPr>
        <w:rPr>
          <w:lang w:val="en-US"/>
        </w:rPr>
      </w:pPr>
    </w:p>
    <w:p>
      <w:pPr>
        <w:rPr>
          <w:lang w:val="en-US"/>
        </w:rPr>
      </w:pPr>
    </w:p>
    <w:p>
      <w:pPr>
        <w:ind w:firstLine="480" w:firstLineChars="200"/>
        <w:rPr>
          <w:lang w:val="en-US"/>
        </w:rPr>
        <w:sectPr>
          <w:pgSz w:w="11906" w:h="16838"/>
          <w:pgMar w:top="1440" w:right="1797" w:bottom="1440" w:left="1797" w:header="170" w:footer="624" w:gutter="0"/>
          <w:pgNumType w:start="1"/>
          <w:cols w:space="708" w:num="1"/>
          <w:titlePg/>
          <w:docGrid w:linePitch="360" w:charSpace="0"/>
        </w:sectPr>
      </w:pPr>
    </w:p>
    <w:p>
      <w:pPr>
        <w:jc w:val="center"/>
        <w:rPr>
          <w:rFonts w:hint="eastAsia" w:ascii="宋体" w:hAnsi="宋体" w:cs="宋体"/>
        </w:rPr>
      </w:pPr>
      <w:r>
        <w:rPr>
          <w:rFonts w:ascii="宋体" w:hAnsi="宋体"/>
          <w:u w:val="single"/>
        </w:rPr>
        <w:t xml:space="preserve">                  </w:t>
      </w:r>
      <w:r>
        <w:rPr>
          <w:rFonts w:hint="eastAsia" w:ascii="宋体" w:hAnsi="宋体"/>
          <w:bCs/>
          <w:spacing w:val="36"/>
          <w:lang w:val="en-US"/>
        </w:rPr>
        <w:t>工程合同</w:t>
      </w:r>
    </w:p>
    <w:p>
      <w:pPr>
        <w:pStyle w:val="37"/>
        <w:spacing w:before="240" w:beforeLines="100"/>
        <w:ind w:firstLine="0"/>
        <w:rPr>
          <w:rFonts w:hint="eastAsia" w:ascii="宋体"/>
          <w:color w:val="auto"/>
          <w:sz w:val="21"/>
          <w:szCs w:val="21"/>
        </w:rPr>
      </w:pPr>
      <w:r>
        <w:rPr>
          <w:rFonts w:hint="eastAsia" w:ascii="宋体"/>
          <w:color w:val="auto"/>
          <w:spacing w:val="285"/>
          <w:kern w:val="0"/>
          <w:sz w:val="21"/>
          <w:szCs w:val="21"/>
          <w:fitText w:val="1200" w:id="1937004289"/>
        </w:rPr>
        <w:t>甲方</w:t>
      </w:r>
      <w:r>
        <w:rPr>
          <w:rFonts w:ascii="宋体"/>
          <w:color w:val="auto"/>
          <w:spacing w:val="0"/>
          <w:kern w:val="0"/>
          <w:sz w:val="21"/>
          <w:szCs w:val="21"/>
          <w:fitText w:val="1200" w:id="1937004289"/>
        </w:rPr>
        <w:t>：</w:t>
      </w:r>
      <w:r>
        <w:rPr>
          <w:rFonts w:hint="eastAsia" w:ascii="宋体"/>
          <w:color w:val="auto"/>
          <w:sz w:val="21"/>
          <w:szCs w:val="21"/>
        </w:rPr>
        <w:t>陆丰宝丽华新能源电力有限公司</w:t>
      </w:r>
    </w:p>
    <w:p>
      <w:pPr>
        <w:snapToGrid w:val="0"/>
        <w:spacing w:line="360" w:lineRule="auto"/>
        <w:jc w:val="both"/>
        <w:rPr>
          <w:rFonts w:hint="eastAsia" w:ascii="宋体" w:hAnsi="宋体"/>
          <w:sz w:val="21"/>
          <w:szCs w:val="21"/>
        </w:rPr>
      </w:pPr>
      <w:r>
        <w:rPr>
          <w:rFonts w:hint="eastAsia" w:ascii="宋体" w:hAnsi="宋体"/>
          <w:spacing w:val="285"/>
          <w:kern w:val="0"/>
          <w:sz w:val="21"/>
          <w:szCs w:val="21"/>
          <w:fitText w:val="1200" w:id="1937004290"/>
        </w:rPr>
        <w:t>乙方</w:t>
      </w:r>
      <w:r>
        <w:rPr>
          <w:rFonts w:ascii="宋体" w:hAnsi="宋体"/>
          <w:spacing w:val="0"/>
          <w:kern w:val="0"/>
          <w:sz w:val="21"/>
          <w:szCs w:val="21"/>
          <w:fitText w:val="1200" w:id="1937004290"/>
        </w:rPr>
        <w:t>：</w:t>
      </w:r>
      <w:r>
        <w:rPr>
          <w:rFonts w:ascii="宋体" w:hAnsi="宋体"/>
          <w:kern w:val="0"/>
          <w:sz w:val="21"/>
          <w:szCs w:val="21"/>
          <w:u w:val="single"/>
        </w:rPr>
        <w:t xml:space="preserve">                            *</w:t>
      </w:r>
    </w:p>
    <w:p>
      <w:pPr>
        <w:spacing w:before="240" w:beforeLines="100" w:line="360" w:lineRule="auto"/>
        <w:ind w:firstLine="420" w:firstLineChars="200"/>
        <w:jc w:val="both"/>
        <w:rPr>
          <w:rFonts w:hint="eastAsia" w:ascii="宋体" w:hAnsi="宋体"/>
          <w:sz w:val="21"/>
          <w:szCs w:val="21"/>
        </w:rPr>
      </w:pPr>
      <w:r>
        <w:rPr>
          <w:rFonts w:hint="eastAsia" w:ascii="宋体" w:hAnsi="宋体"/>
          <w:sz w:val="21"/>
          <w:szCs w:val="21"/>
        </w:rPr>
        <w:t>按照《中华人民共和国民法典》、《中华人民共和国建筑法》及国家相关法律、行政法规，结合本工程具体情况，甲乙双方遵循平等、自愿、公平、诚信的原则，双方经协商一致，签立本合同，以资共同遵守。</w:t>
      </w:r>
      <w:r>
        <w:rPr>
          <w:rFonts w:hint="eastAsia" w:ascii="宋体" w:hAnsi="宋体"/>
          <w:b/>
          <w:bCs/>
          <w:sz w:val="21"/>
          <w:szCs w:val="21"/>
        </w:rPr>
        <w:t xml:space="preserve"> </w:t>
      </w:r>
    </w:p>
    <w:p>
      <w:pPr>
        <w:numPr>
          <w:ilvl w:val="0"/>
          <w:numId w:val="6"/>
        </w:numPr>
        <w:spacing w:before="120" w:beforeLines="50" w:after="120" w:afterLines="50" w:line="360" w:lineRule="auto"/>
        <w:ind w:left="448" w:hanging="448"/>
        <w:outlineLvl w:val="0"/>
        <w:rPr>
          <w:rFonts w:ascii="宋体" w:hAnsi="宋体"/>
          <w:b/>
          <w:sz w:val="21"/>
          <w:szCs w:val="21"/>
        </w:rPr>
      </w:pPr>
      <w:bookmarkStart w:id="1" w:name="_Toc106654953"/>
      <w:r>
        <w:rPr>
          <w:rFonts w:hint="eastAsia" w:ascii="宋体" w:hAnsi="宋体"/>
          <w:b/>
          <w:sz w:val="21"/>
          <w:szCs w:val="21"/>
        </w:rPr>
        <w:t>工程名称及施工范围</w:t>
      </w:r>
      <w:bookmarkEnd w:id="1"/>
    </w:p>
    <w:p>
      <w:pPr>
        <w:pStyle w:val="43"/>
        <w:numPr>
          <w:ilvl w:val="0"/>
          <w:numId w:val="7"/>
        </w:numPr>
        <w:spacing w:line="360" w:lineRule="auto"/>
        <w:ind w:firstLineChars="0"/>
        <w:rPr>
          <w:rFonts w:ascii="宋体" w:hAnsi="宋体"/>
          <w:szCs w:val="21"/>
        </w:rPr>
      </w:pPr>
      <w:r>
        <w:rPr>
          <w:rFonts w:hint="eastAsia" w:ascii="宋体" w:hAnsi="宋体"/>
          <w:szCs w:val="21"/>
        </w:rPr>
        <w:t>工程名称：陆丰甲湖湾电厂</w:t>
      </w:r>
      <w:r>
        <w:rPr>
          <w:rFonts w:ascii="宋体" w:hAnsi="宋体"/>
          <w:szCs w:val="21"/>
          <w:u w:val="single"/>
        </w:rPr>
        <w:t xml:space="preserve">              </w:t>
      </w:r>
      <w:r>
        <w:rPr>
          <w:rFonts w:hint="eastAsia" w:ascii="宋体" w:hAnsi="宋体"/>
          <w:szCs w:val="21"/>
        </w:rPr>
        <w:t>工程。</w:t>
      </w:r>
    </w:p>
    <w:p>
      <w:pPr>
        <w:pStyle w:val="43"/>
        <w:numPr>
          <w:ilvl w:val="0"/>
          <w:numId w:val="7"/>
        </w:numPr>
        <w:spacing w:line="360" w:lineRule="auto"/>
        <w:ind w:firstLineChars="0"/>
        <w:rPr>
          <w:rFonts w:ascii="宋体" w:hAnsi="宋体"/>
          <w:szCs w:val="21"/>
        </w:rPr>
      </w:pPr>
      <w:r>
        <w:rPr>
          <w:rFonts w:hint="eastAsia" w:ascii="宋体" w:hAnsi="宋体"/>
          <w:szCs w:val="21"/>
        </w:rPr>
        <w:t>施工地点：广东省陆丰市湖东镇甲湖湾电厂</w:t>
      </w:r>
    </w:p>
    <w:p>
      <w:pPr>
        <w:pStyle w:val="43"/>
        <w:numPr>
          <w:ilvl w:val="0"/>
          <w:numId w:val="7"/>
        </w:numPr>
        <w:spacing w:line="360" w:lineRule="auto"/>
        <w:ind w:firstLineChars="0"/>
        <w:rPr>
          <w:rFonts w:ascii="宋体" w:hAnsi="宋体"/>
          <w:szCs w:val="21"/>
        </w:rPr>
      </w:pPr>
      <w:r>
        <w:rPr>
          <w:rFonts w:hint="eastAsia" w:ascii="宋体" w:hAnsi="宋体"/>
          <w:szCs w:val="21"/>
        </w:rPr>
        <w:t>施工项目范围：具体施工范围、验收标准、管理及考核等详见合同条款及合同附件《技术要求》/《安健环管理协议书》。</w:t>
      </w:r>
    </w:p>
    <w:p>
      <w:pPr>
        <w:numPr>
          <w:ilvl w:val="0"/>
          <w:numId w:val="6"/>
        </w:numPr>
        <w:spacing w:before="120" w:beforeLines="50" w:after="120" w:afterLines="50" w:line="360" w:lineRule="auto"/>
        <w:ind w:left="448" w:hanging="448"/>
        <w:outlineLvl w:val="0"/>
        <w:rPr>
          <w:rFonts w:ascii="宋体" w:hAnsi="宋体"/>
          <w:b/>
          <w:sz w:val="21"/>
          <w:szCs w:val="21"/>
        </w:rPr>
      </w:pPr>
      <w:bookmarkStart w:id="2" w:name="_Toc106654954"/>
      <w:r>
        <w:rPr>
          <w:rFonts w:hint="eastAsia" w:ascii="宋体" w:hAnsi="宋体"/>
          <w:b/>
          <w:sz w:val="21"/>
          <w:szCs w:val="21"/>
        </w:rPr>
        <w:t>合同工期</w:t>
      </w:r>
      <w:bookmarkEnd w:id="2"/>
    </w:p>
    <w:p>
      <w:pPr>
        <w:pStyle w:val="43"/>
        <w:numPr>
          <w:ilvl w:val="0"/>
          <w:numId w:val="8"/>
        </w:numPr>
        <w:spacing w:line="360" w:lineRule="auto"/>
        <w:ind w:firstLineChars="0"/>
        <w:rPr>
          <w:rFonts w:ascii="宋体" w:hAnsi="宋体"/>
          <w:szCs w:val="21"/>
        </w:rPr>
      </w:pPr>
      <w:r>
        <w:rPr>
          <w:rFonts w:hint="eastAsia" w:ascii="宋体" w:hAnsi="宋体"/>
          <w:szCs w:val="21"/>
        </w:rPr>
        <w:t>服务期限：本项目自</w:t>
      </w:r>
      <w:r>
        <w:rPr>
          <w:rFonts w:hint="eastAsia" w:ascii="宋体" w:hAnsi="宋体"/>
          <w:szCs w:val="21"/>
          <w:u w:val="single"/>
          <w:lang w:val="en-US" w:eastAsia="zh-CN"/>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pStyle w:val="43"/>
        <w:numPr>
          <w:ilvl w:val="0"/>
          <w:numId w:val="8"/>
        </w:numPr>
        <w:spacing w:line="360" w:lineRule="auto"/>
        <w:ind w:firstLineChars="0"/>
        <w:rPr>
          <w:rFonts w:hint="eastAsia" w:ascii="宋体" w:hAnsi="宋体"/>
          <w:szCs w:val="21"/>
        </w:rPr>
      </w:pPr>
      <w:r>
        <w:rPr>
          <w:rFonts w:hint="eastAsia" w:ascii="宋体" w:hAnsi="宋体"/>
          <w:szCs w:val="21"/>
        </w:rPr>
        <w:t>乙方施工完工后向甲方提报竣工验收申请，甲方应自收到乙方申请后组织验收，竣工日期以验收合格日期为准。</w:t>
      </w:r>
    </w:p>
    <w:p>
      <w:pPr>
        <w:pStyle w:val="43"/>
        <w:numPr>
          <w:ilvl w:val="0"/>
          <w:numId w:val="8"/>
        </w:numPr>
        <w:spacing w:line="360" w:lineRule="auto"/>
        <w:ind w:firstLineChars="0"/>
        <w:rPr>
          <w:rFonts w:ascii="宋体" w:hAnsi="宋体"/>
          <w:szCs w:val="21"/>
        </w:rPr>
      </w:pPr>
      <w:r>
        <w:rPr>
          <w:rFonts w:hint="eastAsia" w:ascii="宋体" w:hAnsi="宋体"/>
          <w:szCs w:val="21"/>
        </w:rPr>
        <w:t>如因甲方原因造成的工期延期，甲方以</w:t>
      </w:r>
      <w:r>
        <w:rPr>
          <w:rFonts w:ascii="宋体" w:hAnsi="宋体"/>
          <w:szCs w:val="21"/>
        </w:rPr>
        <w:t>书面</w:t>
      </w:r>
      <w:r>
        <w:rPr>
          <w:rFonts w:hint="eastAsia" w:ascii="宋体" w:hAnsi="宋体"/>
          <w:szCs w:val="21"/>
        </w:rPr>
        <w:t>形式</w:t>
      </w:r>
      <w:r>
        <w:rPr>
          <w:rFonts w:ascii="宋体" w:hAnsi="宋体"/>
          <w:szCs w:val="21"/>
        </w:rPr>
        <w:t>通知乙方，乙方须无条件配合完成顺延事项</w:t>
      </w:r>
      <w:r>
        <w:rPr>
          <w:rFonts w:hint="eastAsia" w:ascii="宋体" w:hAnsi="宋体"/>
          <w:szCs w:val="21"/>
        </w:rPr>
        <w:t>。</w:t>
      </w:r>
    </w:p>
    <w:p>
      <w:pPr>
        <w:numPr>
          <w:ilvl w:val="0"/>
          <w:numId w:val="6"/>
        </w:numPr>
        <w:spacing w:before="120" w:beforeLines="50" w:after="120" w:afterLines="50" w:line="360" w:lineRule="auto"/>
        <w:ind w:left="448" w:hanging="448"/>
        <w:outlineLvl w:val="0"/>
        <w:rPr>
          <w:rFonts w:ascii="宋体" w:hAnsi="宋体"/>
          <w:b/>
          <w:sz w:val="21"/>
          <w:szCs w:val="21"/>
        </w:rPr>
      </w:pPr>
      <w:bookmarkStart w:id="3" w:name="_Toc106654955"/>
      <w:r>
        <w:rPr>
          <w:rFonts w:hint="eastAsia" w:ascii="宋体" w:hAnsi="宋体"/>
          <w:b/>
          <w:sz w:val="21"/>
          <w:szCs w:val="21"/>
        </w:rPr>
        <w:t>承包方式</w:t>
      </w:r>
      <w:bookmarkEnd w:id="3"/>
    </w:p>
    <w:p>
      <w:pPr>
        <w:pStyle w:val="43"/>
        <w:numPr>
          <w:ilvl w:val="0"/>
          <w:numId w:val="9"/>
        </w:numPr>
        <w:spacing w:line="360" w:lineRule="auto"/>
        <w:ind w:firstLineChars="0"/>
        <w:rPr>
          <w:rFonts w:hint="eastAsia" w:ascii="宋体" w:hAnsi="宋体"/>
          <w:szCs w:val="21"/>
        </w:rPr>
      </w:pPr>
      <w:r>
        <w:rPr>
          <w:rFonts w:hint="eastAsia" w:ascii="宋体" w:hAnsi="宋体"/>
          <w:szCs w:val="21"/>
        </w:rPr>
        <w:t>本项目采用固定总价承包方式（包工不包料/包工包料）。乙方在本项目承包范围内实行包人工、利润、税费、机械、工机具和仪器、辅材、安全、环保、职业卫生、质量、验收、文明施工、食宿、交通、环境卫生、废料清理等的固定包干价形式，并按照合同附件的施工范围采取总价包干，承担项目承包范围内规定的所有内容的全部工作。</w:t>
      </w:r>
    </w:p>
    <w:p>
      <w:pPr>
        <w:pStyle w:val="43"/>
        <w:numPr>
          <w:ilvl w:val="0"/>
          <w:numId w:val="9"/>
        </w:numPr>
        <w:spacing w:line="360" w:lineRule="auto"/>
        <w:ind w:firstLineChars="0"/>
        <w:rPr>
          <w:rFonts w:hint="eastAsia" w:ascii="宋体" w:hAnsi="宋体"/>
          <w:szCs w:val="21"/>
        </w:rPr>
      </w:pPr>
      <w:r>
        <w:rPr>
          <w:rFonts w:hint="eastAsia" w:ascii="宋体" w:hAnsi="宋体"/>
          <w:szCs w:val="21"/>
        </w:rPr>
        <w:t>合同总价包括但不限于：</w:t>
      </w:r>
    </w:p>
    <w:p>
      <w:pPr>
        <w:pStyle w:val="43"/>
        <w:spacing w:line="360" w:lineRule="auto"/>
        <w:ind w:left="420" w:firstLine="0" w:firstLineChars="0"/>
        <w:rPr>
          <w:rFonts w:hint="eastAsia" w:ascii="宋体" w:hAnsi="宋体"/>
          <w:szCs w:val="21"/>
        </w:rPr>
      </w:pPr>
      <w:r>
        <w:rPr>
          <w:rFonts w:hint="eastAsia" w:ascii="宋体" w:hAnsi="宋体"/>
          <w:szCs w:val="21"/>
        </w:rPr>
        <w:t>（1）直接费（人工费、材料费、机械设备使用费等）、间接费、利润、税金等；</w:t>
      </w:r>
    </w:p>
    <w:p>
      <w:pPr>
        <w:pStyle w:val="43"/>
        <w:spacing w:line="360" w:lineRule="auto"/>
        <w:ind w:left="420" w:firstLine="0" w:firstLineChars="0"/>
        <w:rPr>
          <w:rFonts w:hint="eastAsia" w:ascii="宋体" w:hAnsi="宋体"/>
          <w:szCs w:val="21"/>
        </w:rPr>
      </w:pPr>
      <w:r>
        <w:rPr>
          <w:rFonts w:hint="eastAsia" w:ascii="宋体" w:hAnsi="宋体"/>
          <w:szCs w:val="21"/>
        </w:rPr>
        <w:t>（2）措施费：包括但不限于乙方为本项目采取的各项措施所发生的一切费用（含安全生产费用、工人个人防护用品费及员工职业体检费用、突发事件处置费）；</w:t>
      </w:r>
    </w:p>
    <w:p>
      <w:pPr>
        <w:pStyle w:val="43"/>
        <w:spacing w:line="360" w:lineRule="auto"/>
        <w:ind w:left="420" w:firstLine="0" w:firstLineChars="0"/>
        <w:rPr>
          <w:rFonts w:ascii="宋体" w:hAnsi="宋体"/>
          <w:szCs w:val="21"/>
        </w:rPr>
      </w:pPr>
      <w:r>
        <w:rPr>
          <w:rFonts w:hint="eastAsia" w:ascii="宋体" w:hAnsi="宋体"/>
          <w:szCs w:val="21"/>
        </w:rPr>
        <w:t>（3）其他费用：包括项目开工前、施工过程中以及项目竣工验收过程所发生的一切费用等，比如：材料、设备价格上涨；人工工资、福利上涨；赶工、窝工引起费用的增加；政策性调整等因素。</w:t>
      </w:r>
    </w:p>
    <w:p>
      <w:pPr>
        <w:pStyle w:val="43"/>
        <w:numPr>
          <w:ilvl w:val="0"/>
          <w:numId w:val="9"/>
        </w:numPr>
        <w:spacing w:line="360" w:lineRule="auto"/>
        <w:ind w:firstLineChars="0"/>
        <w:rPr>
          <w:rFonts w:hint="eastAsia" w:ascii="宋体" w:hAnsi="宋体"/>
          <w:szCs w:val="21"/>
        </w:rPr>
      </w:pPr>
      <w:r>
        <w:rPr>
          <w:rFonts w:hint="eastAsia" w:ascii="宋体" w:hAnsi="宋体"/>
          <w:szCs w:val="21"/>
        </w:rPr>
        <w:t>合同供货范围包括了所有合同设备、专用工具、备品备件等及相关的技术资料及技术服务，但在执行合同过程中如发现有任何漏项和短缺，在发货清单中并未列入而且确实是乙方供货范围中应该有的，并且是满足本合同技术协议中对合同设备的性能保证值要求所必须的，均应由乙方负责将所缺的设备、专用工具、备品备件等及技术服务等补上，且不与甲方发生费用问题。</w:t>
      </w:r>
    </w:p>
    <w:p>
      <w:pPr>
        <w:pStyle w:val="43"/>
        <w:numPr>
          <w:ilvl w:val="0"/>
          <w:numId w:val="9"/>
        </w:numPr>
        <w:spacing w:line="360" w:lineRule="auto"/>
        <w:ind w:firstLineChars="0"/>
        <w:rPr>
          <w:rFonts w:hint="eastAsia" w:ascii="宋体" w:hAnsi="宋体"/>
          <w:szCs w:val="21"/>
        </w:rPr>
      </w:pPr>
      <w:r>
        <w:rPr>
          <w:rFonts w:hint="eastAsia" w:ascii="宋体" w:hAnsi="宋体"/>
          <w:szCs w:val="21"/>
        </w:rPr>
        <w:t>损失赔偿的范围包括但不限于以下费用:</w:t>
      </w:r>
    </w:p>
    <w:p>
      <w:pPr>
        <w:spacing w:line="360" w:lineRule="auto"/>
        <w:ind w:left="420"/>
        <w:rPr>
          <w:rFonts w:hint="eastAsia" w:ascii="宋体" w:hAnsi="宋体"/>
          <w:sz w:val="21"/>
          <w:szCs w:val="21"/>
          <w:lang w:val="en-US"/>
        </w:rPr>
      </w:pPr>
      <w:r>
        <w:rPr>
          <w:rFonts w:hint="eastAsia" w:ascii="宋体" w:hAnsi="宋体"/>
          <w:sz w:val="21"/>
          <w:szCs w:val="21"/>
          <w:lang w:val="en-US"/>
        </w:rPr>
        <w:t>（1）受害方为处理此事支付的费用，包括但不限于律师代理费、诉讼费、差旅费、材料费、调查费、评估费、鉴定费等。</w:t>
      </w:r>
    </w:p>
    <w:p>
      <w:pPr>
        <w:pStyle w:val="43"/>
        <w:spacing w:line="360" w:lineRule="auto"/>
        <w:ind w:left="420" w:firstLine="0" w:firstLineChars="0"/>
        <w:rPr>
          <w:rFonts w:hint="eastAsia" w:ascii="宋体" w:hAnsi="宋体"/>
          <w:szCs w:val="21"/>
        </w:rPr>
      </w:pPr>
      <w:r>
        <w:rPr>
          <w:rFonts w:hint="eastAsia" w:ascii="宋体" w:hAnsi="宋体"/>
          <w:szCs w:val="21"/>
        </w:rPr>
        <w:t>（2）受害方因此而遭受商业利益的损失，包括但不限于合理利润的损失、技术转让费用的损失等。</w:t>
      </w:r>
    </w:p>
    <w:p>
      <w:pPr>
        <w:numPr>
          <w:ilvl w:val="0"/>
          <w:numId w:val="6"/>
        </w:numPr>
        <w:spacing w:before="120" w:beforeLines="50" w:after="120" w:afterLines="50" w:line="360" w:lineRule="auto"/>
        <w:ind w:left="448" w:hanging="448"/>
        <w:outlineLvl w:val="0"/>
        <w:rPr>
          <w:rFonts w:hint="eastAsia" w:ascii="宋体" w:hAnsi="宋体"/>
          <w:b/>
          <w:sz w:val="21"/>
          <w:szCs w:val="21"/>
        </w:rPr>
      </w:pPr>
      <w:bookmarkStart w:id="4" w:name="_Toc106654956"/>
      <w:r>
        <w:rPr>
          <w:rFonts w:hint="eastAsia" w:ascii="宋体" w:hAnsi="宋体"/>
          <w:b/>
          <w:sz w:val="21"/>
          <w:szCs w:val="21"/>
        </w:rPr>
        <w:t>履约保证金的缴纳及退回</w:t>
      </w:r>
      <w:bookmarkEnd w:id="4"/>
    </w:p>
    <w:p>
      <w:pPr>
        <w:spacing w:line="360" w:lineRule="auto"/>
        <w:ind w:firstLine="420" w:firstLineChars="200"/>
        <w:rPr>
          <w:rFonts w:ascii="宋体" w:hAnsi="宋体"/>
          <w:sz w:val="21"/>
          <w:szCs w:val="21"/>
          <w:lang w:val="en-US"/>
        </w:rPr>
      </w:pPr>
      <w:r>
        <w:rPr>
          <w:rFonts w:hint="eastAsia" w:ascii="宋体" w:hAnsi="宋体"/>
          <w:sz w:val="21"/>
          <w:szCs w:val="21"/>
          <w:lang w:val="en-US"/>
        </w:rPr>
        <w:t>对应招标文件（</w:t>
      </w:r>
      <w:r>
        <w:rPr>
          <w:rFonts w:hint="eastAsia" w:ascii="宋体" w:hAnsi="宋体"/>
          <w:sz w:val="21"/>
          <w:szCs w:val="21"/>
          <w:u w:val="single"/>
          <w:lang w:val="en-US"/>
        </w:rPr>
        <w:t>招标编号：</w:t>
      </w:r>
      <w:r>
        <w:rPr>
          <w:rFonts w:ascii="宋体" w:hAnsi="宋体"/>
          <w:sz w:val="21"/>
          <w:szCs w:val="21"/>
          <w:u w:val="single"/>
          <w:lang w:val="en-US"/>
        </w:rPr>
        <w:t xml:space="preserve">      </w:t>
      </w:r>
      <w:r>
        <w:rPr>
          <w:rFonts w:hint="eastAsia" w:ascii="宋体" w:hAnsi="宋体"/>
          <w:sz w:val="21"/>
          <w:szCs w:val="21"/>
          <w:lang w:val="en-US"/>
        </w:rPr>
        <w:t>）缴纳的投标保证金</w:t>
      </w:r>
      <w:r>
        <w:rPr>
          <w:rFonts w:hint="eastAsia" w:ascii="宋体" w:hAnsi="宋体"/>
          <w:sz w:val="21"/>
          <w:szCs w:val="21"/>
          <w:u w:val="single"/>
        </w:rPr>
        <w:t>¥</w:t>
      </w:r>
      <w:r>
        <w:rPr>
          <w:rFonts w:ascii="宋体" w:hAnsi="宋体"/>
          <w:sz w:val="21"/>
          <w:szCs w:val="21"/>
          <w:u w:val="single"/>
          <w:lang w:val="en-US"/>
        </w:rPr>
        <w:t xml:space="preserve">     </w:t>
      </w:r>
      <w:r>
        <w:rPr>
          <w:rFonts w:hint="eastAsia" w:ascii="宋体" w:hAnsi="宋体"/>
          <w:sz w:val="21"/>
          <w:szCs w:val="21"/>
          <w:u w:val="single"/>
          <w:lang w:val="en-US"/>
        </w:rPr>
        <w:t>元</w:t>
      </w:r>
      <w:r>
        <w:rPr>
          <w:rFonts w:hint="eastAsia" w:ascii="宋体" w:hAnsi="宋体"/>
          <w:sz w:val="21"/>
          <w:szCs w:val="21"/>
          <w:lang w:val="en-US"/>
        </w:rPr>
        <w:t>直接转变为履约保证金。履约保证金不足部分，乙方须补足。履约保证金用于支付乙方违约不履行合同义务、不按要求完成其合</w:t>
      </w:r>
      <w:bookmarkStart w:id="174" w:name="_GoBack"/>
      <w:bookmarkEnd w:id="174"/>
      <w:r>
        <w:rPr>
          <w:rFonts w:hint="eastAsia" w:ascii="宋体" w:hAnsi="宋体"/>
          <w:sz w:val="21"/>
          <w:szCs w:val="21"/>
          <w:lang w:val="en-US"/>
        </w:rPr>
        <w:t>同义务，以及因乙方原因造成甲方的损失赔偿或补偿费用。</w:t>
      </w:r>
    </w:p>
    <w:p>
      <w:pPr>
        <w:spacing w:line="360" w:lineRule="auto"/>
        <w:ind w:firstLine="420" w:firstLineChars="200"/>
        <w:rPr>
          <w:rFonts w:ascii="宋体" w:hAnsi="宋体"/>
          <w:sz w:val="21"/>
          <w:szCs w:val="21"/>
          <w:lang w:val="en-US"/>
        </w:rPr>
      </w:pPr>
      <w:r>
        <w:rPr>
          <w:rFonts w:hint="eastAsia" w:ascii="宋体" w:hAnsi="宋体"/>
          <w:sz w:val="21"/>
          <w:szCs w:val="21"/>
          <w:lang w:val="en-US"/>
        </w:rPr>
        <w:t>乙方应在</w:t>
      </w:r>
      <w:r>
        <w:rPr>
          <w:rFonts w:ascii="宋体" w:hAnsi="宋体"/>
          <w:sz w:val="21"/>
          <w:szCs w:val="21"/>
          <w:u w:val="single"/>
          <w:lang w:val="en-US"/>
        </w:rPr>
        <w:t xml:space="preserve">   </w:t>
      </w:r>
      <w:r>
        <w:rPr>
          <w:rFonts w:hint="eastAsia" w:ascii="宋体" w:hAnsi="宋体"/>
          <w:sz w:val="21"/>
          <w:szCs w:val="21"/>
          <w:lang w:val="en-US"/>
        </w:rPr>
        <w:t>年</w:t>
      </w:r>
      <w:r>
        <w:rPr>
          <w:rFonts w:ascii="宋体" w:hAnsi="宋体"/>
          <w:sz w:val="21"/>
          <w:szCs w:val="21"/>
          <w:u w:val="single"/>
          <w:lang w:val="en-US"/>
        </w:rPr>
        <w:t xml:space="preserve">   </w:t>
      </w:r>
      <w:r>
        <w:rPr>
          <w:rFonts w:hint="eastAsia" w:ascii="宋体" w:hAnsi="宋体"/>
          <w:sz w:val="21"/>
          <w:szCs w:val="21"/>
          <w:lang w:val="en-US"/>
        </w:rPr>
        <w:t>月</w:t>
      </w:r>
      <w:r>
        <w:rPr>
          <w:rFonts w:ascii="宋体" w:hAnsi="宋体"/>
          <w:sz w:val="21"/>
          <w:szCs w:val="21"/>
          <w:u w:val="single"/>
          <w:lang w:val="en-US"/>
        </w:rPr>
        <w:t xml:space="preserve">   </w:t>
      </w:r>
      <w:r>
        <w:rPr>
          <w:rFonts w:hint="eastAsia" w:ascii="宋体" w:hAnsi="宋体"/>
          <w:sz w:val="21"/>
          <w:szCs w:val="21"/>
          <w:lang w:val="en-US"/>
        </w:rPr>
        <w:t>日前，向甲方提交</w:t>
      </w:r>
      <w:r>
        <w:rPr>
          <w:rFonts w:ascii="宋体" w:hAnsi="宋体"/>
          <w:sz w:val="21"/>
          <w:szCs w:val="21"/>
          <w:u w:val="single"/>
          <w:lang w:val="en-US"/>
        </w:rPr>
        <w:t xml:space="preserve"> </w:t>
      </w:r>
      <w:r>
        <w:rPr>
          <w:rFonts w:hint="eastAsia" w:ascii="宋体" w:hAnsi="宋体"/>
          <w:sz w:val="21"/>
          <w:szCs w:val="21"/>
          <w:u w:val="single"/>
          <w:lang w:val="en-US" w:eastAsia="zh-CN"/>
        </w:rPr>
        <w:t>10%</w:t>
      </w:r>
      <w:r>
        <w:rPr>
          <w:rFonts w:ascii="宋体" w:hAnsi="宋体"/>
          <w:sz w:val="21"/>
          <w:szCs w:val="21"/>
          <w:u w:val="single"/>
          <w:lang w:val="en-US"/>
        </w:rPr>
        <w:t xml:space="preserve"> </w:t>
      </w:r>
      <w:r>
        <w:rPr>
          <w:rFonts w:hint="eastAsia" w:ascii="宋体" w:hAnsi="宋体"/>
          <w:sz w:val="21"/>
          <w:szCs w:val="21"/>
          <w:lang w:val="en-US"/>
        </w:rPr>
        <w:t>履约保证金。履约保证金用于支付乙方违约不履行合同义务、不按要求完成其合同义务，以及因乙方原因造成甲方的损失赔偿或补偿费用；同时亦可作为安健环安全保证金，用于安健环违章考核。在本工程验收合格后</w:t>
      </w:r>
      <w:r>
        <w:rPr>
          <w:rFonts w:ascii="宋体" w:hAnsi="宋体"/>
          <w:sz w:val="21"/>
          <w:szCs w:val="21"/>
          <w:lang w:val="en-US"/>
        </w:rPr>
        <w:t>20</w:t>
      </w:r>
      <w:r>
        <w:rPr>
          <w:rFonts w:hint="eastAsia" w:ascii="宋体" w:hAnsi="宋体"/>
          <w:sz w:val="21"/>
          <w:szCs w:val="21"/>
          <w:lang w:val="en-US"/>
        </w:rPr>
        <w:t>天内，甲方无息退还根据本合同约定扣除相应违约或考核金额后的履约保证金。履约保证金以银行汇款形式缴纳至下列账号。</w:t>
      </w:r>
    </w:p>
    <w:tbl>
      <w:tblPr>
        <w:tblStyle w:val="27"/>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27"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收款单位名称</w:t>
            </w:r>
          </w:p>
        </w:tc>
        <w:tc>
          <w:tcPr>
            <w:tcW w:w="5136"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陆丰宝丽华新能源电力有限公司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27"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开户银行</w:t>
            </w:r>
          </w:p>
        </w:tc>
        <w:tc>
          <w:tcPr>
            <w:tcW w:w="5136"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农业银行梅县华侨城支行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027" w:type="dxa"/>
            <w:noWrap w:val="0"/>
            <w:vAlign w:val="center"/>
          </w:tcPr>
          <w:p>
            <w:pPr>
              <w:spacing w:line="360" w:lineRule="auto"/>
              <w:jc w:val="center"/>
              <w:rPr>
                <w:rFonts w:ascii="宋体" w:hAnsi="宋体" w:cs="宋体"/>
                <w:sz w:val="21"/>
                <w:szCs w:val="21"/>
              </w:rPr>
            </w:pPr>
            <w:r>
              <w:rPr>
                <w:rFonts w:hint="eastAsia" w:ascii="宋体" w:hAnsi="宋体" w:cs="宋体"/>
                <w:sz w:val="21"/>
                <w:szCs w:val="21"/>
              </w:rPr>
              <w:t>账    号</w:t>
            </w:r>
          </w:p>
        </w:tc>
        <w:tc>
          <w:tcPr>
            <w:tcW w:w="5136" w:type="dxa"/>
            <w:noWrap w:val="0"/>
            <w:vAlign w:val="center"/>
          </w:tcPr>
          <w:p>
            <w:pPr>
              <w:spacing w:line="360" w:lineRule="auto"/>
              <w:jc w:val="center"/>
              <w:rPr>
                <w:rFonts w:ascii="宋体" w:hAnsi="宋体" w:cs="宋体"/>
                <w:sz w:val="21"/>
                <w:szCs w:val="21"/>
              </w:rPr>
            </w:pPr>
            <w:r>
              <w:rPr>
                <w:rFonts w:ascii="宋体" w:hAnsi="宋体" w:cs="宋体"/>
                <w:sz w:val="21"/>
                <w:szCs w:val="21"/>
              </w:rPr>
              <w:t>44181201040004165</w:t>
            </w:r>
          </w:p>
        </w:tc>
      </w:tr>
    </w:tbl>
    <w:p>
      <w:pPr>
        <w:spacing w:line="360" w:lineRule="auto"/>
        <w:ind w:firstLine="420" w:firstLineChars="200"/>
        <w:rPr>
          <w:rFonts w:ascii="宋体" w:hAnsi="宋体"/>
          <w:sz w:val="21"/>
          <w:szCs w:val="21"/>
          <w:lang w:val="en-US"/>
        </w:rPr>
      </w:pPr>
      <w:r>
        <w:rPr>
          <w:rFonts w:hint="eastAsia" w:ascii="宋体" w:hAnsi="宋体"/>
          <w:sz w:val="21"/>
          <w:szCs w:val="21"/>
          <w:lang w:val="en-US"/>
        </w:rPr>
        <w:t>退还履约保证金途径如下：</w:t>
      </w:r>
    </w:p>
    <w:tbl>
      <w:tblPr>
        <w:tblStyle w:val="27"/>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2569"/>
        <w:gridCol w:w="1159"/>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781" w:type="dxa"/>
            <w:shd w:val="clear" w:color="auto" w:fill="auto"/>
            <w:noWrap w:val="0"/>
            <w:vAlign w:val="center"/>
          </w:tcPr>
          <w:p>
            <w:pPr>
              <w:spacing w:line="360" w:lineRule="auto"/>
              <w:jc w:val="center"/>
              <w:rPr>
                <w:rFonts w:hint="eastAsia" w:ascii="宋体" w:hAnsi="宋体"/>
                <w:sz w:val="21"/>
                <w:szCs w:val="21"/>
                <w:lang w:val="en-US"/>
              </w:rPr>
            </w:pPr>
            <w:r>
              <w:rPr>
                <w:rFonts w:hint="eastAsia" w:ascii="宋体" w:hAnsi="宋体"/>
                <w:sz w:val="21"/>
                <w:szCs w:val="21"/>
                <w:lang w:val="en-US"/>
              </w:rPr>
              <w:t>收款人名称</w:t>
            </w:r>
          </w:p>
        </w:tc>
        <w:tc>
          <w:tcPr>
            <w:tcW w:w="5423" w:type="dxa"/>
            <w:gridSpan w:val="3"/>
            <w:shd w:val="clear" w:color="auto" w:fill="auto"/>
            <w:noWrap w:val="0"/>
            <w:vAlign w:val="center"/>
          </w:tcPr>
          <w:p>
            <w:pPr>
              <w:spacing w:line="360" w:lineRule="auto"/>
              <w:jc w:val="center"/>
              <w:rPr>
                <w:rFonts w:hint="eastAsia" w:ascii="宋体" w:hAnsi="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781" w:type="dxa"/>
            <w:shd w:val="clear" w:color="auto" w:fill="auto"/>
            <w:noWrap w:val="0"/>
            <w:vAlign w:val="center"/>
          </w:tcPr>
          <w:p>
            <w:pPr>
              <w:spacing w:line="360" w:lineRule="auto"/>
              <w:jc w:val="center"/>
              <w:rPr>
                <w:rFonts w:hint="eastAsia" w:ascii="宋体" w:hAnsi="宋体"/>
                <w:sz w:val="21"/>
                <w:szCs w:val="21"/>
                <w:lang w:val="en-US"/>
              </w:rPr>
            </w:pPr>
            <w:r>
              <w:rPr>
                <w:rFonts w:hint="eastAsia" w:ascii="宋体" w:hAnsi="宋体"/>
                <w:sz w:val="21"/>
                <w:szCs w:val="21"/>
                <w:lang w:val="en-US"/>
              </w:rPr>
              <w:t>收款人地址</w:t>
            </w:r>
          </w:p>
        </w:tc>
        <w:tc>
          <w:tcPr>
            <w:tcW w:w="5423" w:type="dxa"/>
            <w:gridSpan w:val="3"/>
            <w:shd w:val="clear" w:color="auto" w:fill="auto"/>
            <w:noWrap w:val="0"/>
            <w:vAlign w:val="center"/>
          </w:tcPr>
          <w:p>
            <w:pPr>
              <w:spacing w:line="360" w:lineRule="auto"/>
              <w:jc w:val="center"/>
              <w:rPr>
                <w:rFonts w:hint="eastAsia" w:ascii="宋体" w:hAnsi="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781" w:type="dxa"/>
            <w:shd w:val="clear" w:color="auto" w:fill="auto"/>
            <w:noWrap w:val="0"/>
            <w:vAlign w:val="center"/>
          </w:tcPr>
          <w:p>
            <w:pPr>
              <w:spacing w:line="360" w:lineRule="auto"/>
              <w:jc w:val="center"/>
              <w:rPr>
                <w:rFonts w:ascii="宋体" w:hAnsi="宋体"/>
                <w:sz w:val="21"/>
                <w:szCs w:val="21"/>
                <w:lang w:val="en-US"/>
              </w:rPr>
            </w:pPr>
            <w:r>
              <w:rPr>
                <w:rFonts w:hint="eastAsia" w:ascii="宋体" w:hAnsi="宋体"/>
                <w:sz w:val="21"/>
                <w:szCs w:val="21"/>
                <w:lang w:val="en-US"/>
              </w:rPr>
              <w:t>开户银行</w:t>
            </w:r>
          </w:p>
          <w:p>
            <w:pPr>
              <w:spacing w:line="360" w:lineRule="auto"/>
              <w:jc w:val="center"/>
              <w:rPr>
                <w:rFonts w:hint="eastAsia" w:ascii="宋体" w:hAnsi="宋体"/>
                <w:sz w:val="21"/>
                <w:szCs w:val="21"/>
                <w:lang w:val="en-US"/>
              </w:rPr>
            </w:pPr>
            <w:r>
              <w:rPr>
                <w:rFonts w:hint="eastAsia" w:ascii="宋体" w:hAnsi="宋体"/>
                <w:sz w:val="21"/>
                <w:szCs w:val="21"/>
                <w:lang w:val="en-US"/>
              </w:rPr>
              <w:t>（具体到X</w:t>
            </w:r>
            <w:r>
              <w:rPr>
                <w:rFonts w:ascii="宋体" w:hAnsi="宋体"/>
                <w:sz w:val="21"/>
                <w:szCs w:val="21"/>
                <w:lang w:val="en-US"/>
              </w:rPr>
              <w:t>X</w:t>
            </w:r>
            <w:r>
              <w:rPr>
                <w:rFonts w:hint="eastAsia" w:ascii="宋体" w:hAnsi="宋体"/>
                <w:sz w:val="21"/>
                <w:szCs w:val="21"/>
                <w:lang w:val="en-US"/>
              </w:rPr>
              <w:t>银行X</w:t>
            </w:r>
            <w:r>
              <w:rPr>
                <w:rFonts w:ascii="宋体" w:hAnsi="宋体"/>
                <w:sz w:val="21"/>
                <w:szCs w:val="21"/>
                <w:lang w:val="en-US"/>
              </w:rPr>
              <w:t>X</w:t>
            </w:r>
            <w:r>
              <w:rPr>
                <w:rFonts w:hint="eastAsia" w:ascii="宋体" w:hAnsi="宋体"/>
                <w:sz w:val="21"/>
                <w:szCs w:val="21"/>
                <w:lang w:val="en-US"/>
              </w:rPr>
              <w:t>支行）</w:t>
            </w:r>
          </w:p>
        </w:tc>
        <w:tc>
          <w:tcPr>
            <w:tcW w:w="2569" w:type="dxa"/>
            <w:shd w:val="clear" w:color="auto" w:fill="auto"/>
            <w:noWrap w:val="0"/>
            <w:vAlign w:val="center"/>
          </w:tcPr>
          <w:p>
            <w:pPr>
              <w:spacing w:line="360" w:lineRule="auto"/>
              <w:jc w:val="center"/>
              <w:rPr>
                <w:rFonts w:hint="eastAsia" w:ascii="宋体" w:hAnsi="宋体"/>
                <w:sz w:val="21"/>
                <w:szCs w:val="21"/>
                <w:lang w:val="en-US"/>
              </w:rPr>
            </w:pPr>
          </w:p>
        </w:tc>
        <w:tc>
          <w:tcPr>
            <w:tcW w:w="1159" w:type="dxa"/>
            <w:shd w:val="clear" w:color="auto" w:fill="auto"/>
            <w:noWrap w:val="0"/>
            <w:vAlign w:val="center"/>
          </w:tcPr>
          <w:p>
            <w:pPr>
              <w:spacing w:line="360" w:lineRule="auto"/>
              <w:jc w:val="center"/>
              <w:rPr>
                <w:rFonts w:hint="eastAsia" w:ascii="宋体" w:hAnsi="宋体"/>
                <w:sz w:val="21"/>
                <w:szCs w:val="21"/>
                <w:lang w:val="en-US"/>
              </w:rPr>
            </w:pPr>
            <w:r>
              <w:rPr>
                <w:rFonts w:hint="eastAsia" w:ascii="宋体" w:hAnsi="宋体"/>
                <w:sz w:val="21"/>
                <w:szCs w:val="21"/>
                <w:lang w:val="en-US"/>
              </w:rPr>
              <w:t>联系人</w:t>
            </w:r>
          </w:p>
        </w:tc>
        <w:tc>
          <w:tcPr>
            <w:tcW w:w="1695" w:type="dxa"/>
            <w:shd w:val="clear" w:color="auto" w:fill="auto"/>
            <w:noWrap w:val="0"/>
            <w:vAlign w:val="center"/>
          </w:tcPr>
          <w:p>
            <w:pPr>
              <w:spacing w:line="360" w:lineRule="auto"/>
              <w:jc w:val="center"/>
              <w:rPr>
                <w:rFonts w:hint="eastAsia" w:ascii="宋体" w:hAnsi="宋体"/>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781" w:type="dxa"/>
            <w:shd w:val="clear" w:color="auto" w:fill="auto"/>
            <w:noWrap w:val="0"/>
            <w:vAlign w:val="center"/>
          </w:tcPr>
          <w:p>
            <w:pPr>
              <w:spacing w:line="360" w:lineRule="auto"/>
              <w:jc w:val="center"/>
              <w:rPr>
                <w:rFonts w:hint="eastAsia" w:ascii="宋体" w:hAnsi="宋体"/>
                <w:sz w:val="21"/>
                <w:szCs w:val="21"/>
                <w:lang w:val="en-US"/>
              </w:rPr>
            </w:pPr>
            <w:r>
              <w:rPr>
                <w:rFonts w:hint="eastAsia" w:ascii="宋体" w:hAnsi="宋体"/>
                <w:sz w:val="21"/>
                <w:szCs w:val="21"/>
                <w:lang w:val="en-US"/>
              </w:rPr>
              <w:t>账号</w:t>
            </w:r>
          </w:p>
        </w:tc>
        <w:tc>
          <w:tcPr>
            <w:tcW w:w="2569" w:type="dxa"/>
            <w:shd w:val="clear" w:color="auto" w:fill="auto"/>
            <w:noWrap w:val="0"/>
            <w:vAlign w:val="center"/>
          </w:tcPr>
          <w:p>
            <w:pPr>
              <w:spacing w:line="360" w:lineRule="auto"/>
              <w:jc w:val="center"/>
              <w:rPr>
                <w:rFonts w:hint="eastAsia" w:ascii="宋体" w:hAnsi="宋体"/>
                <w:sz w:val="21"/>
                <w:szCs w:val="21"/>
                <w:lang w:val="en-US"/>
              </w:rPr>
            </w:pPr>
          </w:p>
        </w:tc>
        <w:tc>
          <w:tcPr>
            <w:tcW w:w="1159" w:type="dxa"/>
            <w:shd w:val="clear" w:color="auto" w:fill="auto"/>
            <w:noWrap w:val="0"/>
            <w:vAlign w:val="center"/>
          </w:tcPr>
          <w:p>
            <w:pPr>
              <w:spacing w:line="360" w:lineRule="auto"/>
              <w:jc w:val="center"/>
              <w:rPr>
                <w:rFonts w:hint="eastAsia" w:ascii="宋体" w:hAnsi="宋体"/>
                <w:sz w:val="21"/>
                <w:szCs w:val="21"/>
                <w:lang w:val="en-US"/>
              </w:rPr>
            </w:pPr>
            <w:r>
              <w:rPr>
                <w:rFonts w:hint="eastAsia" w:ascii="宋体" w:hAnsi="宋体"/>
                <w:sz w:val="21"/>
                <w:szCs w:val="21"/>
                <w:lang w:val="en-US"/>
              </w:rPr>
              <w:t>联系电话</w:t>
            </w:r>
          </w:p>
        </w:tc>
        <w:tc>
          <w:tcPr>
            <w:tcW w:w="1695" w:type="dxa"/>
            <w:shd w:val="clear" w:color="auto" w:fill="auto"/>
            <w:noWrap w:val="0"/>
            <w:vAlign w:val="center"/>
          </w:tcPr>
          <w:p>
            <w:pPr>
              <w:spacing w:line="360" w:lineRule="auto"/>
              <w:jc w:val="center"/>
              <w:rPr>
                <w:rFonts w:hint="eastAsia" w:ascii="宋体" w:hAnsi="宋体"/>
                <w:sz w:val="21"/>
                <w:szCs w:val="21"/>
                <w:lang w:val="en-US"/>
              </w:rPr>
            </w:pPr>
          </w:p>
        </w:tc>
      </w:tr>
    </w:tbl>
    <w:p>
      <w:pPr>
        <w:numPr>
          <w:ilvl w:val="0"/>
          <w:numId w:val="6"/>
        </w:numPr>
        <w:spacing w:before="120" w:beforeLines="50" w:after="120" w:afterLines="50" w:line="360" w:lineRule="auto"/>
        <w:ind w:left="448" w:hanging="448"/>
        <w:outlineLvl w:val="0"/>
        <w:rPr>
          <w:rFonts w:ascii="宋体" w:hAnsi="宋体"/>
          <w:b/>
          <w:sz w:val="21"/>
          <w:szCs w:val="21"/>
        </w:rPr>
      </w:pPr>
      <w:bookmarkStart w:id="5" w:name="_Toc106654957"/>
      <w:r>
        <w:rPr>
          <w:rFonts w:hint="eastAsia" w:ascii="宋体" w:hAnsi="宋体"/>
          <w:b/>
          <w:sz w:val="21"/>
          <w:szCs w:val="21"/>
        </w:rPr>
        <w:t>合同价款、付款方式</w:t>
      </w:r>
      <w:bookmarkEnd w:id="5"/>
    </w:p>
    <w:p>
      <w:pPr>
        <w:spacing w:line="360" w:lineRule="auto"/>
        <w:rPr>
          <w:rFonts w:ascii="宋体" w:hAnsi="宋体"/>
          <w:sz w:val="21"/>
          <w:szCs w:val="21"/>
        </w:rPr>
      </w:pPr>
      <w:r>
        <w:rPr>
          <w:rFonts w:hint="eastAsia" w:ascii="宋体" w:hAnsi="宋体"/>
          <w:sz w:val="21"/>
          <w:szCs w:val="21"/>
        </w:rPr>
        <w:t>1、合同总价为</w:t>
      </w:r>
      <w:r>
        <w:rPr>
          <w:rFonts w:hint="eastAsia" w:ascii="宋体" w:hAnsi="宋体"/>
          <w:sz w:val="21"/>
          <w:szCs w:val="21"/>
          <w:u w:val="single"/>
        </w:rPr>
        <w:t>¥</w:t>
      </w:r>
      <w:r>
        <w:rPr>
          <w:rFonts w:ascii="宋体" w:hAnsi="宋体" w:cs="Arial"/>
          <w:bCs/>
          <w:sz w:val="21"/>
          <w:szCs w:val="21"/>
          <w:u w:val="single"/>
        </w:rPr>
        <w:t xml:space="preserve">       </w:t>
      </w:r>
      <w:r>
        <w:rPr>
          <w:rFonts w:hint="eastAsia" w:ascii="宋体" w:hAnsi="宋体" w:cs="Arial"/>
          <w:bCs/>
          <w:sz w:val="21"/>
          <w:szCs w:val="21"/>
          <w:u w:val="single"/>
        </w:rPr>
        <w:t>.00</w:t>
      </w:r>
      <w:r>
        <w:rPr>
          <w:rFonts w:hint="eastAsia" w:ascii="宋体" w:hAnsi="宋体"/>
          <w:sz w:val="21"/>
          <w:szCs w:val="21"/>
        </w:rPr>
        <w:t>元（人民币大写：</w:t>
      </w:r>
      <w:r>
        <w:rPr>
          <w:rFonts w:ascii="宋体" w:hAnsi="宋体"/>
          <w:sz w:val="21"/>
          <w:szCs w:val="21"/>
          <w:u w:val="single"/>
        </w:rPr>
        <w:t xml:space="preserve">        </w:t>
      </w:r>
      <w:r>
        <w:rPr>
          <w:rFonts w:hint="eastAsia" w:ascii="宋体" w:hAnsi="宋体"/>
          <w:sz w:val="21"/>
          <w:szCs w:val="21"/>
        </w:rPr>
        <w:t>）。</w:t>
      </w:r>
    </w:p>
    <w:p>
      <w:pPr>
        <w:numPr>
          <w:ilvl w:val="0"/>
          <w:numId w:val="10"/>
        </w:numPr>
        <w:spacing w:line="360" w:lineRule="auto"/>
        <w:rPr>
          <w:rFonts w:ascii="宋体" w:hAnsi="宋体"/>
          <w:sz w:val="21"/>
          <w:szCs w:val="21"/>
        </w:rPr>
      </w:pPr>
      <w:r>
        <w:rPr>
          <w:rFonts w:hint="eastAsia" w:ascii="宋体" w:hAnsi="宋体"/>
          <w:sz w:val="21"/>
          <w:szCs w:val="21"/>
        </w:rPr>
        <w:t>本合同价为实施完成本检修维护项目所有内容全过程中发生的各项费用之总和。包括：检修维护人工费、一般消耗性材料费用、检修维护工器具费、提前进厂费、生产、生活场所配套设施费、物价调整等风险包干费、技术包干费、管理费、利润、税金（13%增值税）、安全文明作业措施费等政策性文件规定的所有费用以及乙方在完成本标段检修维护项目过程中可能发生的其它各种费用等。</w:t>
      </w:r>
    </w:p>
    <w:p>
      <w:pPr>
        <w:numPr>
          <w:ilvl w:val="0"/>
          <w:numId w:val="10"/>
        </w:numPr>
        <w:spacing w:line="360" w:lineRule="auto"/>
        <w:rPr>
          <w:rFonts w:ascii="宋体" w:hAnsi="宋体"/>
          <w:sz w:val="21"/>
          <w:szCs w:val="21"/>
        </w:rPr>
      </w:pPr>
      <w:r>
        <w:rPr>
          <w:rFonts w:hint="eastAsia" w:ascii="宋体" w:hAnsi="宋体"/>
          <w:sz w:val="21"/>
          <w:szCs w:val="21"/>
        </w:rPr>
        <w:t>工人工资支付分账（如有）</w:t>
      </w:r>
    </w:p>
    <w:p>
      <w:pPr>
        <w:spacing w:line="360" w:lineRule="auto"/>
        <w:ind w:left="840"/>
        <w:rPr>
          <w:rFonts w:hint="eastAsia" w:ascii="宋体" w:hAnsi="宋体"/>
          <w:sz w:val="21"/>
          <w:szCs w:val="21"/>
        </w:rPr>
      </w:pPr>
      <w:r>
        <w:rPr>
          <w:rFonts w:hint="eastAsia" w:ascii="宋体" w:hAnsi="宋体"/>
          <w:sz w:val="21"/>
          <w:szCs w:val="21"/>
        </w:rPr>
        <w:t>工人工资款支付专用账户开设的约定内容：</w:t>
      </w:r>
      <w:r>
        <w:rPr>
          <w:rFonts w:hint="eastAsia" w:ascii="宋体" w:hAnsi="宋体"/>
          <w:sz w:val="21"/>
          <w:szCs w:val="21"/>
          <w:u w:val="single"/>
        </w:rPr>
        <w:t xml:space="preserve">                               </w:t>
      </w:r>
      <w:r>
        <w:rPr>
          <w:rFonts w:hint="eastAsia" w:ascii="宋体" w:hAnsi="宋体"/>
          <w:sz w:val="21"/>
          <w:szCs w:val="21"/>
        </w:rPr>
        <w:t>。</w:t>
      </w:r>
    </w:p>
    <w:p>
      <w:pPr>
        <w:spacing w:line="360" w:lineRule="auto"/>
        <w:ind w:left="840"/>
        <w:rPr>
          <w:rFonts w:hint="eastAsia" w:ascii="宋体" w:hAnsi="宋体"/>
          <w:sz w:val="21"/>
          <w:szCs w:val="21"/>
        </w:rPr>
      </w:pPr>
      <w:r>
        <w:rPr>
          <w:rFonts w:hint="eastAsia" w:ascii="宋体" w:hAnsi="宋体"/>
          <w:sz w:val="21"/>
          <w:szCs w:val="21"/>
        </w:rPr>
        <w:t>工人工资款支付专用账户开户银行（如有）：</w:t>
      </w:r>
      <w:r>
        <w:rPr>
          <w:rFonts w:hint="eastAsia" w:ascii="宋体" w:hAnsi="宋体"/>
          <w:sz w:val="21"/>
          <w:szCs w:val="21"/>
          <w:u w:val="single"/>
        </w:rPr>
        <w:t xml:space="preserve">                            </w:t>
      </w:r>
      <w:r>
        <w:rPr>
          <w:rFonts w:hint="eastAsia" w:ascii="宋体" w:hAnsi="宋体"/>
          <w:sz w:val="21"/>
          <w:szCs w:val="21"/>
        </w:rPr>
        <w:t>，</w:t>
      </w:r>
    </w:p>
    <w:p>
      <w:pPr>
        <w:spacing w:line="360" w:lineRule="auto"/>
        <w:ind w:left="840"/>
        <w:rPr>
          <w:rFonts w:hint="eastAsia" w:ascii="宋体" w:hAnsi="宋体"/>
          <w:sz w:val="21"/>
          <w:szCs w:val="21"/>
        </w:rPr>
      </w:pPr>
      <w:r>
        <w:rPr>
          <w:rFonts w:hint="eastAsia" w:ascii="宋体" w:hAnsi="宋体"/>
          <w:sz w:val="21"/>
          <w:szCs w:val="21"/>
        </w:rPr>
        <w:t>工人工资款支付专用账户（如有）：</w:t>
      </w:r>
      <w:r>
        <w:rPr>
          <w:rFonts w:hint="eastAsia" w:ascii="宋体" w:hAnsi="宋体"/>
          <w:sz w:val="21"/>
          <w:szCs w:val="21"/>
          <w:u w:val="single"/>
        </w:rPr>
        <w:t xml:space="preserve">                                   </w:t>
      </w:r>
      <w:r>
        <w:rPr>
          <w:rFonts w:hint="eastAsia" w:ascii="宋体" w:hAnsi="宋体"/>
          <w:sz w:val="21"/>
          <w:szCs w:val="21"/>
        </w:rPr>
        <w:t>。</w:t>
      </w:r>
    </w:p>
    <w:p>
      <w:pPr>
        <w:spacing w:line="360" w:lineRule="auto"/>
        <w:ind w:left="840"/>
        <w:rPr>
          <w:rFonts w:hint="eastAsia" w:ascii="宋体" w:hAnsi="宋体"/>
          <w:sz w:val="21"/>
          <w:szCs w:val="21"/>
        </w:rPr>
      </w:pPr>
      <w:r>
        <w:rPr>
          <w:rFonts w:hint="eastAsia" w:ascii="宋体" w:hAnsi="宋体"/>
          <w:sz w:val="21"/>
          <w:szCs w:val="21"/>
        </w:rPr>
        <w:t>工程款中的工人工资款比例：</w:t>
      </w:r>
      <w:r>
        <w:rPr>
          <w:rFonts w:hint="eastAsia" w:ascii="宋体" w:hAnsi="宋体"/>
          <w:sz w:val="21"/>
          <w:szCs w:val="21"/>
          <w:u w:val="single"/>
        </w:rPr>
        <w:t xml:space="preserve">                                  </w:t>
      </w:r>
      <w:r>
        <w:rPr>
          <w:rFonts w:hint="eastAsia" w:ascii="宋体" w:hAnsi="宋体"/>
          <w:sz w:val="21"/>
          <w:szCs w:val="21"/>
        </w:rPr>
        <w:t>，</w:t>
      </w:r>
    </w:p>
    <w:p>
      <w:pPr>
        <w:spacing w:line="360" w:lineRule="auto"/>
        <w:ind w:left="840"/>
        <w:rPr>
          <w:rFonts w:hint="eastAsia" w:ascii="宋体" w:hAnsi="宋体"/>
          <w:sz w:val="21"/>
          <w:szCs w:val="21"/>
        </w:rPr>
      </w:pPr>
      <w:r>
        <w:rPr>
          <w:rFonts w:hint="eastAsia" w:ascii="宋体" w:hAnsi="宋体"/>
          <w:sz w:val="21"/>
          <w:szCs w:val="21"/>
        </w:rPr>
        <w:t>其中：每一期工程进度款中的工人工资款比例：</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840"/>
        <w:rPr>
          <w:rFonts w:hint="eastAsia" w:ascii="宋体" w:hAnsi="宋体"/>
          <w:sz w:val="21"/>
          <w:szCs w:val="21"/>
        </w:rPr>
      </w:pPr>
      <w:r>
        <w:rPr>
          <w:rFonts w:hint="eastAsia" w:ascii="宋体" w:hAnsi="宋体"/>
          <w:sz w:val="21"/>
          <w:szCs w:val="21"/>
        </w:rPr>
        <w:t>工人工资支付周期：</w:t>
      </w:r>
      <w:r>
        <w:rPr>
          <w:rFonts w:hint="eastAsia" w:ascii="宋体" w:hAnsi="宋体"/>
          <w:sz w:val="21"/>
          <w:szCs w:val="21"/>
          <w:u w:val="single"/>
        </w:rPr>
        <w:t xml:space="preserve">                              </w:t>
      </w:r>
      <w:r>
        <w:rPr>
          <w:rFonts w:hint="eastAsia" w:ascii="宋体" w:hAnsi="宋体"/>
          <w:sz w:val="21"/>
          <w:szCs w:val="21"/>
        </w:rPr>
        <w:t>。</w:t>
      </w:r>
    </w:p>
    <w:p>
      <w:pPr>
        <w:spacing w:line="360" w:lineRule="auto"/>
        <w:ind w:left="840"/>
        <w:rPr>
          <w:rFonts w:hint="eastAsia" w:ascii="宋体" w:hAnsi="宋体"/>
          <w:sz w:val="21"/>
          <w:szCs w:val="21"/>
        </w:rPr>
      </w:pPr>
      <w:r>
        <w:rPr>
          <w:rFonts w:hint="eastAsia" w:ascii="宋体" w:hAnsi="宋体"/>
          <w:sz w:val="21"/>
          <w:szCs w:val="21"/>
        </w:rPr>
        <w:t>乙方已确认上述约定工程款中的工人工资款比例能满足本工程项目的工人工资支付。</w:t>
      </w:r>
    </w:p>
    <w:p>
      <w:pPr>
        <w:spacing w:line="360" w:lineRule="auto"/>
        <w:rPr>
          <w:rFonts w:ascii="宋体" w:hAnsi="宋体"/>
          <w:sz w:val="21"/>
          <w:szCs w:val="21"/>
        </w:rPr>
      </w:pPr>
      <w:r>
        <w:rPr>
          <w:rFonts w:hint="eastAsia" w:ascii="宋体" w:hAnsi="宋体"/>
          <w:sz w:val="21"/>
          <w:szCs w:val="21"/>
        </w:rPr>
        <w:t>2、付款方式</w:t>
      </w:r>
    </w:p>
    <w:p>
      <w:pPr>
        <w:widowControl w:val="0"/>
        <w:numPr>
          <w:ilvl w:val="0"/>
          <w:numId w:val="11"/>
        </w:numPr>
        <w:spacing w:line="360" w:lineRule="auto"/>
        <w:jc w:val="both"/>
        <w:rPr>
          <w:rFonts w:hint="eastAsia" w:ascii="宋体" w:hAnsi="宋体"/>
          <w:sz w:val="21"/>
          <w:szCs w:val="21"/>
        </w:rPr>
      </w:pPr>
      <w:r>
        <w:rPr>
          <w:rFonts w:hint="eastAsia" w:ascii="宋体" w:hAnsi="宋体"/>
          <w:sz w:val="21"/>
          <w:szCs w:val="21"/>
        </w:rPr>
        <w:t>付款方式：银行汇款。</w:t>
      </w:r>
    </w:p>
    <w:p>
      <w:pPr>
        <w:widowControl w:val="0"/>
        <w:numPr>
          <w:ilvl w:val="0"/>
          <w:numId w:val="11"/>
        </w:numPr>
        <w:spacing w:line="360" w:lineRule="auto"/>
        <w:jc w:val="both"/>
        <w:rPr>
          <w:rFonts w:ascii="宋体" w:hAnsi="宋体"/>
          <w:sz w:val="21"/>
          <w:szCs w:val="21"/>
        </w:rPr>
      </w:pPr>
      <w:r>
        <w:rPr>
          <w:rFonts w:hint="eastAsia" w:ascii="宋体" w:hAnsi="宋体"/>
          <w:sz w:val="21"/>
          <w:szCs w:val="21"/>
        </w:rPr>
        <w:t>本合同分</w:t>
      </w:r>
      <w:r>
        <w:rPr>
          <w:rFonts w:hint="eastAsia" w:ascii="宋体" w:hAnsi="宋体"/>
          <w:sz w:val="21"/>
          <w:szCs w:val="21"/>
          <w:lang w:val="en-US" w:eastAsia="zh-CN"/>
        </w:rPr>
        <w:t>二</w:t>
      </w:r>
      <w:r>
        <w:rPr>
          <w:rFonts w:hint="eastAsia" w:ascii="宋体" w:hAnsi="宋体"/>
          <w:sz w:val="21"/>
          <w:szCs w:val="21"/>
        </w:rPr>
        <w:t>期付款：</w:t>
      </w:r>
    </w:p>
    <w:p>
      <w:pPr>
        <w:widowControl w:val="0"/>
        <w:numPr>
          <w:ilvl w:val="1"/>
          <w:numId w:val="11"/>
        </w:numPr>
        <w:spacing w:line="360" w:lineRule="auto"/>
        <w:ind w:left="420" w:firstLine="0"/>
        <w:jc w:val="both"/>
        <w:rPr>
          <w:rFonts w:hint="eastAsia" w:ascii="宋体" w:hAnsi="宋体"/>
          <w:sz w:val="21"/>
          <w:szCs w:val="21"/>
        </w:rPr>
      </w:pPr>
      <w:r>
        <w:rPr>
          <w:rFonts w:hint="eastAsia" w:ascii="宋体" w:hAnsi="宋体"/>
          <w:sz w:val="21"/>
          <w:szCs w:val="21"/>
        </w:rPr>
        <w:t>第一期：合同施工通过竣工验收，乙方提供合同价格</w:t>
      </w:r>
      <w:r>
        <w:rPr>
          <w:rFonts w:hint="eastAsia" w:ascii="宋体" w:hAnsi="宋体"/>
          <w:sz w:val="21"/>
          <w:szCs w:val="21"/>
          <w:lang w:val="en-US" w:eastAsia="zh-CN"/>
        </w:rPr>
        <w:t>10</w:t>
      </w:r>
      <w:r>
        <w:rPr>
          <w:rFonts w:hint="eastAsia" w:ascii="宋体" w:hAnsi="宋体"/>
          <w:sz w:val="21"/>
          <w:szCs w:val="21"/>
        </w:rPr>
        <w:t>0%等额合同增值税</w:t>
      </w:r>
      <w:r>
        <w:rPr>
          <w:rFonts w:ascii="宋体" w:hAnsi="宋体"/>
          <w:sz w:val="21"/>
          <w:szCs w:val="21"/>
        </w:rPr>
        <w:t>专用</w:t>
      </w:r>
      <w:r>
        <w:rPr>
          <w:rFonts w:hint="eastAsia" w:ascii="宋体" w:hAnsi="宋体"/>
          <w:sz w:val="21"/>
          <w:szCs w:val="21"/>
        </w:rPr>
        <w:t>发票(</w:t>
      </w:r>
      <w:bookmarkStart w:id="6" w:name="_Hlk44052929"/>
      <w:r>
        <w:rPr>
          <w:rFonts w:hint="eastAsia" w:ascii="宋体" w:hAnsi="宋体"/>
          <w:sz w:val="21"/>
          <w:szCs w:val="21"/>
        </w:rPr>
        <w:t>金额</w:t>
      </w:r>
      <w:r>
        <w:rPr>
          <w:rFonts w:ascii="宋体" w:hAnsi="宋体"/>
          <w:sz w:val="21"/>
          <w:szCs w:val="21"/>
          <w:u w:val="single"/>
        </w:rPr>
        <w:t xml:space="preserve">     </w:t>
      </w:r>
      <w:r>
        <w:rPr>
          <w:rFonts w:hint="eastAsia" w:ascii="宋体" w:hAnsi="宋体"/>
          <w:sz w:val="21"/>
          <w:szCs w:val="21"/>
        </w:rPr>
        <w:t>元</w:t>
      </w:r>
      <w:bookmarkEnd w:id="6"/>
      <w:r>
        <w:rPr>
          <w:rFonts w:hint="eastAsia" w:ascii="宋体" w:hAnsi="宋体"/>
          <w:sz w:val="21"/>
          <w:szCs w:val="21"/>
        </w:rPr>
        <w:t>)，甲方凭发票及竣工验收单</w:t>
      </w:r>
      <w:r>
        <w:rPr>
          <w:rFonts w:hint="eastAsia" w:ascii="宋体" w:hAnsi="宋体"/>
          <w:sz w:val="21"/>
          <w:szCs w:val="21"/>
          <w:lang w:val="en-US" w:eastAsia="zh-CN"/>
        </w:rPr>
        <w:t>3</w:t>
      </w:r>
      <w:r>
        <w:rPr>
          <w:rFonts w:hint="eastAsia" w:ascii="宋体" w:hAnsi="宋体"/>
          <w:sz w:val="21"/>
          <w:szCs w:val="21"/>
        </w:rPr>
        <w:t>0天内支付乙方</w:t>
      </w:r>
      <w:r>
        <w:rPr>
          <w:rFonts w:hint="eastAsia" w:ascii="宋体" w:hAnsi="宋体"/>
          <w:sz w:val="21"/>
          <w:szCs w:val="21"/>
          <w:lang w:val="en-US" w:eastAsia="zh-CN"/>
        </w:rPr>
        <w:t>9</w:t>
      </w:r>
      <w:r>
        <w:rPr>
          <w:rFonts w:hint="eastAsia" w:ascii="宋体" w:hAnsi="宋体"/>
          <w:sz w:val="21"/>
          <w:szCs w:val="21"/>
        </w:rPr>
        <w:t>0%合同款，金额为</w:t>
      </w:r>
      <w:r>
        <w:rPr>
          <w:rFonts w:ascii="宋体" w:hAnsi="宋体"/>
          <w:sz w:val="21"/>
          <w:szCs w:val="21"/>
          <w:u w:val="single"/>
        </w:rPr>
        <w:t xml:space="preserve">     </w:t>
      </w:r>
      <w:r>
        <w:rPr>
          <w:rFonts w:hint="eastAsia" w:ascii="宋体" w:hAnsi="宋体"/>
          <w:sz w:val="21"/>
          <w:szCs w:val="21"/>
        </w:rPr>
        <w:t>元。</w:t>
      </w:r>
    </w:p>
    <w:p>
      <w:pPr>
        <w:widowControl w:val="0"/>
        <w:numPr>
          <w:ilvl w:val="1"/>
          <w:numId w:val="11"/>
        </w:numPr>
        <w:spacing w:line="360" w:lineRule="auto"/>
        <w:ind w:left="420" w:firstLine="0"/>
        <w:jc w:val="both"/>
        <w:rPr>
          <w:rFonts w:ascii="宋体" w:hAnsi="宋体"/>
          <w:sz w:val="21"/>
          <w:szCs w:val="21"/>
        </w:rPr>
      </w:pPr>
      <w:r>
        <w:rPr>
          <w:rFonts w:hint="eastAsia" w:ascii="宋体" w:hAnsi="宋体"/>
          <w:sz w:val="21"/>
          <w:szCs w:val="21"/>
        </w:rPr>
        <w:t>第</w:t>
      </w:r>
      <w:r>
        <w:rPr>
          <w:rFonts w:hint="eastAsia" w:ascii="宋体" w:hAnsi="宋体"/>
          <w:sz w:val="21"/>
          <w:szCs w:val="21"/>
          <w:lang w:val="en-US" w:eastAsia="zh-CN"/>
        </w:rPr>
        <w:t>二</w:t>
      </w:r>
      <w:r>
        <w:rPr>
          <w:rFonts w:hint="eastAsia" w:ascii="宋体" w:hAnsi="宋体"/>
          <w:sz w:val="21"/>
          <w:szCs w:val="21"/>
        </w:rPr>
        <w:t>期：本合同质保期一年，质保期满且无质量问题，凭质量验收单一次性付清</w:t>
      </w:r>
      <w:r>
        <w:rPr>
          <w:rFonts w:hint="eastAsia" w:ascii="宋体" w:hAnsi="宋体"/>
          <w:sz w:val="21"/>
          <w:szCs w:val="21"/>
          <w:lang w:val="en-US" w:eastAsia="zh-CN"/>
        </w:rPr>
        <w:t>剩余合同款</w:t>
      </w:r>
      <w:r>
        <w:rPr>
          <w:rFonts w:hint="eastAsia" w:ascii="宋体" w:hAnsi="宋体"/>
          <w:sz w:val="21"/>
          <w:szCs w:val="21"/>
        </w:rPr>
        <w:t>。</w:t>
      </w:r>
    </w:p>
    <w:p>
      <w:pPr>
        <w:widowControl w:val="0"/>
        <w:numPr>
          <w:ilvl w:val="1"/>
          <w:numId w:val="11"/>
        </w:numPr>
        <w:spacing w:line="360" w:lineRule="auto"/>
        <w:ind w:left="420" w:firstLine="0"/>
        <w:jc w:val="both"/>
        <w:rPr>
          <w:rFonts w:ascii="宋体" w:hAnsi="宋体"/>
          <w:sz w:val="21"/>
          <w:szCs w:val="21"/>
        </w:rPr>
      </w:pPr>
      <w:r>
        <w:rPr>
          <w:rFonts w:hint="eastAsia" w:ascii="宋体" w:hAnsi="宋体"/>
          <w:sz w:val="21"/>
          <w:szCs w:val="21"/>
        </w:rPr>
        <w:t>甲方在支付每笔款项之前，应扣除考核款项及其它按照合同应增减的款项。</w:t>
      </w:r>
    </w:p>
    <w:p>
      <w:pPr>
        <w:widowControl w:val="0"/>
        <w:numPr>
          <w:ilvl w:val="1"/>
          <w:numId w:val="11"/>
        </w:numPr>
        <w:spacing w:line="360" w:lineRule="auto"/>
        <w:ind w:left="420" w:firstLine="0"/>
        <w:jc w:val="both"/>
        <w:rPr>
          <w:rFonts w:ascii="宋体" w:hAnsi="宋体"/>
          <w:sz w:val="21"/>
          <w:szCs w:val="21"/>
        </w:rPr>
      </w:pPr>
      <w:r>
        <w:rPr>
          <w:rFonts w:hint="eastAsia" w:ascii="宋体" w:hAnsi="宋体"/>
          <w:sz w:val="21"/>
          <w:szCs w:val="21"/>
        </w:rPr>
        <w:t>如遇特殊情况增加的工程量及工作项目，甲乙双方友好协商解决，另行签订合同或协议进行结算；甲方有权对特殊情况增加的项目委托其他单位承包。</w:t>
      </w:r>
    </w:p>
    <w:p>
      <w:pPr>
        <w:spacing w:line="360" w:lineRule="auto"/>
        <w:rPr>
          <w:rFonts w:ascii="宋体" w:hAnsi="宋体"/>
          <w:sz w:val="21"/>
          <w:szCs w:val="21"/>
        </w:rPr>
      </w:pPr>
      <w:r>
        <w:rPr>
          <w:rFonts w:hint="eastAsia" w:ascii="宋体" w:hAnsi="宋体"/>
          <w:sz w:val="21"/>
          <w:szCs w:val="21"/>
        </w:rPr>
        <w:t>3、甲方开票信息及乙方收款账号以本合同签署页信息为准，乙方账户信息有变更的，需提前至少3个工作日书面通知甲方，如未及时通知导致延迟或无法付款的，甲方不承担任何责任。如因乙方未在约定时间内提供合法有效的等额增值税专用发票导致甲方延迟付款的，甲方不承担延迟付款的违约责任。</w:t>
      </w:r>
    </w:p>
    <w:p>
      <w:pPr>
        <w:numPr>
          <w:ilvl w:val="0"/>
          <w:numId w:val="6"/>
        </w:numPr>
        <w:spacing w:before="120" w:beforeLines="50" w:after="120" w:afterLines="50" w:line="360" w:lineRule="auto"/>
        <w:ind w:left="448" w:hanging="448"/>
        <w:outlineLvl w:val="0"/>
        <w:rPr>
          <w:rFonts w:hint="eastAsia" w:ascii="宋体" w:hAnsi="宋体"/>
          <w:b/>
          <w:sz w:val="21"/>
          <w:szCs w:val="21"/>
        </w:rPr>
      </w:pPr>
      <w:bookmarkStart w:id="7" w:name="_Toc106654958"/>
      <w:r>
        <w:rPr>
          <w:rFonts w:hint="eastAsia" w:ascii="宋体" w:hAnsi="宋体"/>
          <w:b/>
          <w:sz w:val="21"/>
          <w:szCs w:val="21"/>
        </w:rPr>
        <w:t>验收标准及质量要求</w:t>
      </w:r>
      <w:bookmarkEnd w:id="7"/>
    </w:p>
    <w:p>
      <w:pPr>
        <w:numPr>
          <w:ilvl w:val="0"/>
          <w:numId w:val="12"/>
        </w:numPr>
        <w:spacing w:line="360" w:lineRule="auto"/>
        <w:rPr>
          <w:rFonts w:hint="eastAsia" w:ascii="宋体" w:hAnsi="宋体"/>
          <w:sz w:val="21"/>
          <w:szCs w:val="21"/>
          <w:lang w:val="en-US"/>
        </w:rPr>
      </w:pPr>
      <w:r>
        <w:rPr>
          <w:rFonts w:hint="eastAsia" w:ascii="宋体" w:hAnsi="宋体"/>
          <w:sz w:val="21"/>
          <w:szCs w:val="21"/>
          <w:lang w:val="en-US"/>
        </w:rPr>
        <w:t>严格按照国家及电力行业相关标准、设计图纸、本合同附件《施工方案》及《安健环协议》执行。</w:t>
      </w:r>
    </w:p>
    <w:p>
      <w:pPr>
        <w:numPr>
          <w:ilvl w:val="0"/>
          <w:numId w:val="12"/>
        </w:numPr>
        <w:spacing w:line="360" w:lineRule="auto"/>
        <w:rPr>
          <w:rFonts w:hint="eastAsia" w:ascii="宋体" w:hAnsi="宋体"/>
          <w:sz w:val="21"/>
          <w:szCs w:val="21"/>
          <w:lang w:val="en-US"/>
        </w:rPr>
      </w:pPr>
      <w:r>
        <w:rPr>
          <w:rFonts w:hint="eastAsia" w:ascii="宋体" w:hAnsi="宋体"/>
          <w:sz w:val="21"/>
          <w:szCs w:val="21"/>
          <w:lang w:val="en-US"/>
        </w:rPr>
        <w:t>各分项施工完毕后，乙方应通知甲方组织有关人员对各分项进行检查、验收、确认。</w:t>
      </w:r>
    </w:p>
    <w:p>
      <w:pPr>
        <w:numPr>
          <w:ilvl w:val="0"/>
          <w:numId w:val="12"/>
        </w:numPr>
        <w:spacing w:line="360" w:lineRule="auto"/>
        <w:rPr>
          <w:rFonts w:hint="eastAsia" w:ascii="宋体" w:hAnsi="宋体"/>
          <w:sz w:val="21"/>
          <w:szCs w:val="21"/>
          <w:lang w:val="en-US"/>
        </w:rPr>
      </w:pPr>
      <w:r>
        <w:rPr>
          <w:rFonts w:hint="eastAsia" w:ascii="宋体" w:hAnsi="宋体"/>
          <w:sz w:val="21"/>
          <w:szCs w:val="21"/>
          <w:lang w:val="en-US"/>
        </w:rPr>
        <w:t>质量保修：质保期内，若甲方发现由于乙方原因引起质量问题，乙方在接到甲方通知后，应在</w:t>
      </w:r>
      <w:r>
        <w:rPr>
          <w:rFonts w:ascii="宋体" w:hAnsi="宋体"/>
          <w:sz w:val="21"/>
          <w:szCs w:val="21"/>
          <w:lang w:val="en-US"/>
        </w:rPr>
        <w:t>2</w:t>
      </w:r>
      <w:r>
        <w:rPr>
          <w:rFonts w:hint="eastAsia" w:ascii="宋体" w:hAnsi="宋体"/>
          <w:sz w:val="21"/>
          <w:szCs w:val="21"/>
          <w:lang w:val="en-US"/>
        </w:rPr>
        <w:t>天内开展无偿修复和采取必要的完善措施，所需费用由乙方承担。甲方有权全额扣除质保金作为赔偿金。若乙方在接到通知后的2天内不作任何响应的，甲方有权自行委派第三方进行修复，发生费用全部由乙方承担，甲方可按本条规定自行在应支付给乙方的任何一期项目款或履约保证金中扣除违约金。</w:t>
      </w:r>
    </w:p>
    <w:p>
      <w:pPr>
        <w:numPr>
          <w:ilvl w:val="0"/>
          <w:numId w:val="6"/>
        </w:numPr>
        <w:spacing w:before="120" w:beforeLines="50" w:after="120" w:afterLines="50" w:line="360" w:lineRule="auto"/>
        <w:ind w:left="448" w:hanging="448"/>
        <w:outlineLvl w:val="0"/>
        <w:rPr>
          <w:rFonts w:ascii="宋体" w:hAnsi="宋体"/>
          <w:b/>
          <w:sz w:val="21"/>
          <w:szCs w:val="21"/>
        </w:rPr>
      </w:pPr>
      <w:bookmarkStart w:id="8" w:name="_Toc106654959"/>
      <w:r>
        <w:rPr>
          <w:rFonts w:hint="eastAsia" w:ascii="宋体" w:hAnsi="宋体"/>
          <w:b/>
          <w:sz w:val="21"/>
          <w:szCs w:val="21"/>
        </w:rPr>
        <w:t>甲方责任</w:t>
      </w:r>
      <w:bookmarkEnd w:id="8"/>
    </w:p>
    <w:p>
      <w:pPr>
        <w:numPr>
          <w:ilvl w:val="0"/>
          <w:numId w:val="13"/>
        </w:numPr>
        <w:spacing w:line="360" w:lineRule="auto"/>
        <w:rPr>
          <w:rFonts w:hint="eastAsia" w:ascii="宋体" w:hAnsi="宋体"/>
          <w:sz w:val="21"/>
          <w:szCs w:val="21"/>
          <w:lang w:val="en-US"/>
        </w:rPr>
      </w:pPr>
      <w:r>
        <w:rPr>
          <w:rFonts w:hint="eastAsia" w:ascii="宋体" w:hAnsi="宋体"/>
          <w:sz w:val="21"/>
          <w:szCs w:val="21"/>
          <w:lang w:val="en-US"/>
        </w:rPr>
        <w:t>向乙方提供必要的项目施工图纸及技术资料。</w:t>
      </w:r>
    </w:p>
    <w:p>
      <w:pPr>
        <w:numPr>
          <w:ilvl w:val="0"/>
          <w:numId w:val="13"/>
        </w:numPr>
        <w:spacing w:line="360" w:lineRule="auto"/>
        <w:rPr>
          <w:rFonts w:hint="eastAsia" w:ascii="宋体" w:hAnsi="宋体"/>
          <w:sz w:val="21"/>
          <w:szCs w:val="21"/>
          <w:lang w:val="en-US"/>
        </w:rPr>
      </w:pPr>
      <w:r>
        <w:rPr>
          <w:rFonts w:hint="eastAsia" w:ascii="宋体" w:hAnsi="宋体"/>
          <w:sz w:val="21"/>
          <w:szCs w:val="21"/>
          <w:lang w:val="en-US"/>
        </w:rPr>
        <w:t>负责审查乙方编制的施工方案、施工计划及安全措施等。</w:t>
      </w:r>
    </w:p>
    <w:p>
      <w:pPr>
        <w:numPr>
          <w:ilvl w:val="0"/>
          <w:numId w:val="13"/>
        </w:numPr>
        <w:spacing w:line="360" w:lineRule="auto"/>
        <w:rPr>
          <w:rFonts w:hint="eastAsia" w:ascii="宋体" w:hAnsi="宋体"/>
          <w:sz w:val="21"/>
          <w:szCs w:val="21"/>
          <w:lang w:val="en-US"/>
        </w:rPr>
      </w:pPr>
      <w:r>
        <w:rPr>
          <w:rFonts w:hint="eastAsia" w:ascii="宋体" w:hAnsi="宋体"/>
          <w:sz w:val="21"/>
          <w:szCs w:val="21"/>
          <w:lang w:val="en-US"/>
        </w:rPr>
        <w:t>验收乙方所供应的材料质量与数量，确定需要进行施工整改的范围。</w:t>
      </w:r>
    </w:p>
    <w:p>
      <w:pPr>
        <w:numPr>
          <w:ilvl w:val="0"/>
          <w:numId w:val="13"/>
        </w:numPr>
        <w:spacing w:line="360" w:lineRule="auto"/>
        <w:rPr>
          <w:rFonts w:ascii="宋体" w:hAnsi="宋体"/>
          <w:sz w:val="21"/>
          <w:szCs w:val="21"/>
          <w:lang w:val="en-US"/>
        </w:rPr>
      </w:pPr>
      <w:r>
        <w:rPr>
          <w:rFonts w:hint="eastAsia" w:ascii="宋体" w:hAnsi="宋体"/>
          <w:sz w:val="21"/>
          <w:szCs w:val="21"/>
          <w:lang w:val="en-US"/>
        </w:rPr>
        <w:t>负责资金的筹集，按合同约定向乙方支付合同款。</w:t>
      </w:r>
    </w:p>
    <w:p>
      <w:pPr>
        <w:numPr>
          <w:ilvl w:val="0"/>
          <w:numId w:val="13"/>
        </w:numPr>
        <w:spacing w:line="360" w:lineRule="auto"/>
        <w:rPr>
          <w:rFonts w:hint="eastAsia" w:ascii="宋体" w:hAnsi="宋体"/>
          <w:sz w:val="21"/>
          <w:szCs w:val="21"/>
          <w:lang w:val="en-US"/>
        </w:rPr>
      </w:pPr>
      <w:r>
        <w:rPr>
          <w:rFonts w:hint="eastAsia" w:ascii="宋体" w:hAnsi="宋体"/>
          <w:sz w:val="21"/>
          <w:szCs w:val="21"/>
          <w:lang w:val="en-US"/>
        </w:rPr>
        <w:t>为乙方提供施工电源、水源接入点。</w:t>
      </w:r>
    </w:p>
    <w:p>
      <w:pPr>
        <w:numPr>
          <w:ilvl w:val="0"/>
          <w:numId w:val="13"/>
        </w:numPr>
        <w:spacing w:line="360" w:lineRule="auto"/>
        <w:rPr>
          <w:rFonts w:hint="eastAsia" w:ascii="宋体" w:hAnsi="宋体"/>
          <w:sz w:val="21"/>
          <w:szCs w:val="21"/>
          <w:lang w:val="en-US"/>
        </w:rPr>
      </w:pPr>
      <w:r>
        <w:rPr>
          <w:rFonts w:hint="eastAsia" w:ascii="宋体" w:hAnsi="宋体"/>
          <w:sz w:val="21"/>
          <w:szCs w:val="21"/>
          <w:lang w:val="en-US"/>
        </w:rPr>
        <w:t>负责工程进度协调，对工程质量进行监督与检查，办理相关验收签证手续。</w:t>
      </w:r>
    </w:p>
    <w:p>
      <w:pPr>
        <w:numPr>
          <w:ilvl w:val="0"/>
          <w:numId w:val="13"/>
        </w:numPr>
        <w:spacing w:line="360" w:lineRule="auto"/>
        <w:jc w:val="both"/>
        <w:rPr>
          <w:rFonts w:ascii="宋体" w:hAnsi="宋体"/>
          <w:sz w:val="21"/>
          <w:szCs w:val="21"/>
          <w:lang w:val="en-US"/>
        </w:rPr>
      </w:pPr>
      <w:r>
        <w:rPr>
          <w:rFonts w:hint="eastAsia" w:ascii="宋体" w:hAnsi="宋体"/>
          <w:sz w:val="21"/>
          <w:szCs w:val="21"/>
          <w:lang w:val="en-US"/>
        </w:rPr>
        <w:t>为乙方提供现场办公室，提供住宿场所（现有的施工临建板房，距离厂区2公里处）。其他后勤保障均由乙方自行解决，包括任何家具、电器、办公设施和生活设施、员工上下班的通勤班车、工作餐等后勤服务，乙方管理人员办公设施、用品等自行解决。如</w:t>
      </w:r>
      <w:r>
        <w:rPr>
          <w:rFonts w:ascii="宋体" w:hAnsi="宋体"/>
          <w:sz w:val="21"/>
          <w:szCs w:val="21"/>
          <w:lang w:val="en-US"/>
        </w:rPr>
        <w:t>甲方</w:t>
      </w:r>
      <w:r>
        <w:rPr>
          <w:rFonts w:hint="eastAsia" w:ascii="宋体" w:hAnsi="宋体"/>
          <w:sz w:val="21"/>
          <w:szCs w:val="21"/>
          <w:lang w:val="en-US"/>
        </w:rPr>
        <w:t>垫付</w:t>
      </w:r>
      <w:r>
        <w:rPr>
          <w:rFonts w:ascii="宋体" w:hAnsi="宋体"/>
          <w:sz w:val="21"/>
          <w:szCs w:val="21"/>
          <w:lang w:val="en-US"/>
        </w:rPr>
        <w:t>水</w:t>
      </w:r>
      <w:r>
        <w:rPr>
          <w:rFonts w:hint="eastAsia" w:ascii="宋体" w:hAnsi="宋体"/>
          <w:sz w:val="21"/>
          <w:szCs w:val="21"/>
          <w:lang w:val="en-US"/>
        </w:rPr>
        <w:t>、</w:t>
      </w:r>
      <w:r>
        <w:rPr>
          <w:rFonts w:ascii="宋体" w:hAnsi="宋体"/>
          <w:sz w:val="21"/>
          <w:szCs w:val="21"/>
          <w:lang w:val="en-US"/>
        </w:rPr>
        <w:t>电等其他费用，</w:t>
      </w:r>
      <w:r>
        <w:rPr>
          <w:rFonts w:hint="eastAsia" w:ascii="宋体" w:hAnsi="宋体"/>
          <w:sz w:val="21"/>
          <w:szCs w:val="21"/>
          <w:lang w:val="en-US"/>
        </w:rPr>
        <w:t>在</w:t>
      </w:r>
      <w:r>
        <w:rPr>
          <w:rFonts w:ascii="宋体" w:hAnsi="宋体"/>
          <w:sz w:val="21"/>
          <w:szCs w:val="21"/>
          <w:lang w:val="en-US"/>
        </w:rPr>
        <w:t>支付合同进度款</w:t>
      </w:r>
      <w:r>
        <w:rPr>
          <w:rFonts w:hint="eastAsia" w:ascii="宋体" w:hAnsi="宋体"/>
          <w:sz w:val="21"/>
          <w:szCs w:val="21"/>
          <w:lang w:val="en-US"/>
        </w:rPr>
        <w:t>中予以</w:t>
      </w:r>
      <w:r>
        <w:rPr>
          <w:rFonts w:ascii="宋体" w:hAnsi="宋体"/>
          <w:sz w:val="21"/>
          <w:szCs w:val="21"/>
          <w:lang w:val="en-US"/>
        </w:rPr>
        <w:t>扣除。</w:t>
      </w:r>
    </w:p>
    <w:p>
      <w:pPr>
        <w:numPr>
          <w:ilvl w:val="0"/>
          <w:numId w:val="6"/>
        </w:numPr>
        <w:spacing w:before="120" w:beforeLines="50" w:after="120" w:afterLines="50" w:line="360" w:lineRule="auto"/>
        <w:ind w:left="448" w:hanging="448"/>
        <w:outlineLvl w:val="0"/>
        <w:rPr>
          <w:rFonts w:ascii="宋体" w:hAnsi="宋体"/>
          <w:b/>
          <w:sz w:val="21"/>
          <w:szCs w:val="21"/>
        </w:rPr>
      </w:pPr>
      <w:bookmarkStart w:id="9" w:name="_Toc106654960"/>
      <w:r>
        <w:rPr>
          <w:rFonts w:hint="eastAsia" w:ascii="宋体" w:hAnsi="宋体"/>
          <w:b/>
          <w:sz w:val="21"/>
          <w:szCs w:val="21"/>
        </w:rPr>
        <w:t>乙方责任</w:t>
      </w:r>
      <w:bookmarkEnd w:id="9"/>
    </w:p>
    <w:p>
      <w:pPr>
        <w:pStyle w:val="43"/>
        <w:numPr>
          <w:ilvl w:val="0"/>
          <w:numId w:val="14"/>
        </w:numPr>
        <w:spacing w:line="360" w:lineRule="auto"/>
        <w:ind w:firstLineChars="0"/>
        <w:rPr>
          <w:rFonts w:ascii="宋体" w:hAnsi="宋体"/>
          <w:szCs w:val="21"/>
        </w:rPr>
      </w:pPr>
      <w:r>
        <w:rPr>
          <w:rFonts w:hint="eastAsia" w:ascii="宋体" w:hAnsi="宋体"/>
          <w:szCs w:val="21"/>
        </w:rPr>
        <w:t>严格按照国家及电力行业相关标准、设计图纸及技术规范进行施工，确保工程质量，按期完工。</w:t>
      </w:r>
    </w:p>
    <w:p>
      <w:pPr>
        <w:pStyle w:val="43"/>
        <w:numPr>
          <w:ilvl w:val="0"/>
          <w:numId w:val="14"/>
        </w:numPr>
        <w:spacing w:line="360" w:lineRule="auto"/>
        <w:ind w:firstLineChars="0"/>
        <w:rPr>
          <w:rFonts w:ascii="宋体" w:hAnsi="宋体"/>
          <w:szCs w:val="21"/>
        </w:rPr>
      </w:pPr>
      <w:r>
        <w:rPr>
          <w:rFonts w:hint="eastAsia" w:ascii="宋体" w:hAnsi="宋体"/>
          <w:szCs w:val="21"/>
        </w:rPr>
        <w:t>乙方应具备电力工程施工总承包、安全生产许可证等资质证书，乙方从业人员需具备国家规定的从业资格证书；如不具备以上资质证书，由乙方承担相应后果。</w:t>
      </w:r>
    </w:p>
    <w:p>
      <w:pPr>
        <w:pStyle w:val="43"/>
        <w:numPr>
          <w:ilvl w:val="0"/>
          <w:numId w:val="14"/>
        </w:numPr>
        <w:spacing w:line="360" w:lineRule="auto"/>
        <w:ind w:firstLineChars="0"/>
        <w:rPr>
          <w:rFonts w:ascii="宋体" w:hAnsi="宋体"/>
          <w:szCs w:val="21"/>
        </w:rPr>
      </w:pPr>
      <w:r>
        <w:rPr>
          <w:rFonts w:hint="eastAsia" w:ascii="宋体" w:hAnsi="宋体"/>
          <w:szCs w:val="21"/>
        </w:rPr>
        <w:t>遵守甲方对外包施工单位及人员管理的相关制度，不得擅自动用甲方其他设备、材料，保护设备安全，做好施工文明措施，严禁烟火进入施工现场。保护甲方所提供的家具、电器、办公设施和生活设施（如损坏或丢失，乙方负责修复或原价赔偿）。</w:t>
      </w:r>
    </w:p>
    <w:p>
      <w:pPr>
        <w:pStyle w:val="43"/>
        <w:numPr>
          <w:ilvl w:val="0"/>
          <w:numId w:val="14"/>
        </w:numPr>
        <w:spacing w:line="360" w:lineRule="auto"/>
        <w:ind w:firstLineChars="0"/>
        <w:rPr>
          <w:rFonts w:hint="eastAsia" w:ascii="宋体" w:hAnsi="宋体"/>
          <w:szCs w:val="21"/>
        </w:rPr>
      </w:pPr>
      <w:r>
        <w:rPr>
          <w:rFonts w:hint="eastAsia" w:ascii="宋体" w:hAnsi="宋体"/>
          <w:szCs w:val="21"/>
        </w:rPr>
        <w:t>负责编制本项目施工方案和施工计划及安全措施，作为甲方对项目施工监督和检查的依据。</w:t>
      </w:r>
    </w:p>
    <w:p>
      <w:pPr>
        <w:pStyle w:val="43"/>
        <w:numPr>
          <w:ilvl w:val="0"/>
          <w:numId w:val="14"/>
        </w:numPr>
        <w:spacing w:line="360" w:lineRule="auto"/>
        <w:ind w:firstLineChars="0"/>
        <w:rPr>
          <w:rFonts w:ascii="宋体" w:hAnsi="宋体"/>
          <w:szCs w:val="21"/>
        </w:rPr>
      </w:pPr>
      <w:r>
        <w:rPr>
          <w:rFonts w:hint="eastAsia" w:ascii="宋体" w:hAnsi="宋体"/>
          <w:szCs w:val="21"/>
        </w:rPr>
        <w:t>负责完成项目实施前的各项准备工作。遵守政府有关部门对施工场地交通、施工噪音以及安全生产等的管理规定。</w:t>
      </w:r>
    </w:p>
    <w:p>
      <w:pPr>
        <w:pStyle w:val="43"/>
        <w:numPr>
          <w:ilvl w:val="0"/>
          <w:numId w:val="14"/>
        </w:numPr>
        <w:spacing w:line="360" w:lineRule="auto"/>
        <w:ind w:firstLineChars="0"/>
        <w:rPr>
          <w:rFonts w:hint="eastAsia" w:ascii="宋体" w:hAnsi="宋体"/>
          <w:szCs w:val="21"/>
        </w:rPr>
      </w:pPr>
      <w:r>
        <w:rPr>
          <w:rFonts w:hint="eastAsia" w:ascii="宋体" w:hAnsi="宋体"/>
          <w:szCs w:val="21"/>
        </w:rPr>
        <w:t>乙方供应的设备或货物应是全新的、技术先进的并且是安全的、经济的、成熟可靠的。乙方供应的设备或货物应该满足国家现行法规的安全、健康、环保、消防和劳动卫生要求，不应采购超标或淘汰产品。对环保有特殊要求的产品, 乙方还应提供该产品有效的生产许可证、试验报告和质保期等资质条件。</w:t>
      </w:r>
    </w:p>
    <w:p>
      <w:pPr>
        <w:pStyle w:val="43"/>
        <w:numPr>
          <w:ilvl w:val="0"/>
          <w:numId w:val="14"/>
        </w:numPr>
        <w:spacing w:line="360" w:lineRule="auto"/>
        <w:ind w:firstLineChars="0"/>
        <w:rPr>
          <w:rFonts w:hint="eastAsia" w:ascii="宋体" w:hAnsi="宋体"/>
          <w:szCs w:val="21"/>
        </w:rPr>
      </w:pPr>
      <w:r>
        <w:rPr>
          <w:rFonts w:hint="eastAsia" w:ascii="宋体" w:hAnsi="宋体"/>
          <w:szCs w:val="21"/>
        </w:rPr>
        <w:t>规范使用并维护甲方提供的专用工器具，施工过程发生安全事件或者设施及工具损坏，甲方有权要求原价赔偿。</w:t>
      </w:r>
    </w:p>
    <w:p>
      <w:pPr>
        <w:pStyle w:val="43"/>
        <w:numPr>
          <w:ilvl w:val="0"/>
          <w:numId w:val="14"/>
        </w:numPr>
        <w:spacing w:line="360" w:lineRule="auto"/>
        <w:ind w:firstLineChars="0"/>
        <w:rPr>
          <w:rFonts w:hint="eastAsia" w:ascii="宋体" w:hAnsi="宋体"/>
          <w:szCs w:val="21"/>
        </w:rPr>
      </w:pPr>
      <w:r>
        <w:rPr>
          <w:rFonts w:hint="eastAsia" w:ascii="宋体" w:hAnsi="宋体"/>
          <w:szCs w:val="21"/>
        </w:rPr>
        <w:t>乙方在施工前做好安全技术交底，负责本次改造的安全工作，施工中因乙方原因发生人身设备事故、财产损失均由乙方负责。</w:t>
      </w:r>
    </w:p>
    <w:p>
      <w:pPr>
        <w:pStyle w:val="43"/>
        <w:numPr>
          <w:ilvl w:val="0"/>
          <w:numId w:val="14"/>
        </w:numPr>
        <w:spacing w:line="360" w:lineRule="auto"/>
        <w:ind w:firstLineChars="0"/>
        <w:rPr>
          <w:rFonts w:ascii="宋体" w:hAnsi="宋体"/>
          <w:szCs w:val="21"/>
        </w:rPr>
      </w:pPr>
      <w:r>
        <w:rPr>
          <w:rFonts w:hint="eastAsia" w:ascii="宋体" w:hAnsi="宋体"/>
          <w:szCs w:val="21"/>
        </w:rPr>
        <w:t>双方签署《技术协议》及《安健环协议书》，并严格遵照执行。此协议作为合同附件，与合同同时生效。</w:t>
      </w:r>
    </w:p>
    <w:p>
      <w:pPr>
        <w:pStyle w:val="43"/>
        <w:numPr>
          <w:ilvl w:val="0"/>
          <w:numId w:val="14"/>
        </w:numPr>
        <w:spacing w:line="360" w:lineRule="auto"/>
        <w:ind w:firstLineChars="0"/>
        <w:rPr>
          <w:rFonts w:ascii="宋体" w:hAnsi="宋体"/>
          <w:szCs w:val="21"/>
        </w:rPr>
      </w:pPr>
      <w:r>
        <w:rPr>
          <w:rFonts w:hint="eastAsia" w:ascii="宋体" w:hAnsi="宋体"/>
          <w:szCs w:val="21"/>
        </w:rPr>
        <w:t>施工范围</w:t>
      </w:r>
      <w:r>
        <w:rPr>
          <w:rFonts w:ascii="宋体" w:hAnsi="宋体"/>
          <w:szCs w:val="21"/>
        </w:rPr>
        <w:t>由</w:t>
      </w:r>
      <w:r>
        <w:rPr>
          <w:rFonts w:hint="eastAsia" w:ascii="宋体" w:hAnsi="宋体"/>
          <w:szCs w:val="21"/>
        </w:rPr>
        <w:t>甲方</w:t>
      </w:r>
      <w:r>
        <w:rPr>
          <w:rFonts w:ascii="宋体" w:hAnsi="宋体"/>
          <w:szCs w:val="21"/>
        </w:rPr>
        <w:t>确认</w:t>
      </w:r>
      <w:r>
        <w:rPr>
          <w:rFonts w:hint="eastAsia" w:ascii="宋体" w:hAnsi="宋体"/>
          <w:szCs w:val="21"/>
        </w:rPr>
        <w:t>，</w:t>
      </w:r>
      <w:r>
        <w:rPr>
          <w:rFonts w:ascii="宋体" w:hAnsi="宋体"/>
          <w:szCs w:val="21"/>
        </w:rPr>
        <w:t>完成后必须由</w:t>
      </w:r>
      <w:r>
        <w:rPr>
          <w:rFonts w:hint="eastAsia" w:ascii="宋体" w:hAnsi="宋体"/>
          <w:szCs w:val="21"/>
        </w:rPr>
        <w:t>甲方</w:t>
      </w:r>
      <w:r>
        <w:rPr>
          <w:rFonts w:ascii="宋体" w:hAnsi="宋体"/>
          <w:szCs w:val="21"/>
        </w:rPr>
        <w:t>验收</w:t>
      </w:r>
      <w:r>
        <w:rPr>
          <w:rFonts w:hint="eastAsia" w:ascii="宋体" w:hAnsi="宋体"/>
          <w:szCs w:val="21"/>
        </w:rPr>
        <w:t>并办理</w:t>
      </w:r>
      <w:r>
        <w:rPr>
          <w:rFonts w:ascii="宋体" w:hAnsi="宋体"/>
          <w:szCs w:val="21"/>
        </w:rPr>
        <w:t>签证。</w:t>
      </w:r>
      <w:r>
        <w:rPr>
          <w:rFonts w:hint="eastAsia" w:ascii="宋体" w:hAnsi="宋体"/>
          <w:szCs w:val="21"/>
        </w:rPr>
        <w:t>在本合同或技术协议约定范围外的施工内容，在施工前必须经过甲方书面确认方可施工，否则甲方对该项施工内容不予验收、确认及支付费用。</w:t>
      </w:r>
    </w:p>
    <w:p>
      <w:pPr>
        <w:pStyle w:val="43"/>
        <w:numPr>
          <w:ilvl w:val="0"/>
          <w:numId w:val="14"/>
        </w:numPr>
        <w:spacing w:line="360" w:lineRule="auto"/>
        <w:ind w:firstLineChars="0"/>
        <w:rPr>
          <w:rFonts w:ascii="宋体" w:hAnsi="宋体"/>
          <w:szCs w:val="21"/>
        </w:rPr>
      </w:pPr>
      <w:r>
        <w:rPr>
          <w:rFonts w:hint="eastAsia" w:ascii="宋体" w:hAnsi="宋体"/>
          <w:szCs w:val="21"/>
        </w:rPr>
        <w:t>整改部位按甲方要求施工，如未明确则按电力行业保温工程相关标准规范要求执行。无法再用的旧保温材料由乙方拆除后，转运存放在甲方指定的地点，后续交由甲方处置。</w:t>
      </w:r>
    </w:p>
    <w:p>
      <w:pPr>
        <w:pStyle w:val="43"/>
        <w:numPr>
          <w:ilvl w:val="0"/>
          <w:numId w:val="14"/>
        </w:numPr>
        <w:spacing w:line="360" w:lineRule="auto"/>
        <w:ind w:firstLineChars="0"/>
        <w:rPr>
          <w:rFonts w:ascii="宋体" w:hAnsi="宋体"/>
          <w:szCs w:val="21"/>
        </w:rPr>
      </w:pPr>
      <w:r>
        <w:rPr>
          <w:rFonts w:hint="eastAsia" w:ascii="宋体" w:hAnsi="宋体"/>
          <w:szCs w:val="21"/>
        </w:rPr>
        <w:t>乙方在施工过程中不得影响、干扰设备正常运行，否则由此导致的甲方设备停运引起的甲方损失由乙方进行赔偿。及时做好相关技术资料并协同甲方验收签证；施工完成后，保温外表面效果应与现场协调一致，并能通过达标创优验收。</w:t>
      </w:r>
    </w:p>
    <w:p>
      <w:pPr>
        <w:pStyle w:val="43"/>
        <w:numPr>
          <w:ilvl w:val="0"/>
          <w:numId w:val="14"/>
        </w:numPr>
        <w:spacing w:line="360" w:lineRule="auto"/>
        <w:ind w:firstLineChars="0"/>
        <w:rPr>
          <w:rFonts w:ascii="宋体" w:hAnsi="宋体"/>
          <w:szCs w:val="21"/>
        </w:rPr>
      </w:pPr>
      <w:r>
        <w:rPr>
          <w:rFonts w:ascii="宋体" w:hAnsi="宋体"/>
          <w:szCs w:val="21"/>
        </w:rPr>
        <w:t>施工过程要求文明施工，必须有防止粉尘飞扬的措施，所有废保温物料必须</w:t>
      </w:r>
      <w:r>
        <w:rPr>
          <w:rFonts w:hint="eastAsia" w:ascii="宋体" w:hAnsi="宋体"/>
          <w:szCs w:val="21"/>
        </w:rPr>
        <w:t>堆放至甲方指定位置</w:t>
      </w:r>
      <w:r>
        <w:rPr>
          <w:rFonts w:ascii="宋体" w:hAnsi="宋体"/>
          <w:szCs w:val="21"/>
        </w:rPr>
        <w:t>，不可造成二次污染且施工现场要随时保持干净。</w:t>
      </w:r>
    </w:p>
    <w:p>
      <w:pPr>
        <w:pStyle w:val="43"/>
        <w:numPr>
          <w:ilvl w:val="0"/>
          <w:numId w:val="14"/>
        </w:numPr>
        <w:spacing w:line="360" w:lineRule="auto"/>
        <w:ind w:firstLineChars="0"/>
        <w:rPr>
          <w:rFonts w:ascii="宋体" w:hAnsi="宋体"/>
          <w:szCs w:val="21"/>
        </w:rPr>
      </w:pPr>
      <w:r>
        <w:rPr>
          <w:rFonts w:hint="eastAsia" w:ascii="宋体" w:hAnsi="宋体"/>
          <w:szCs w:val="21"/>
        </w:rPr>
        <w:t>未得到甲方的书面同意，乙方不得将本合同的全部或任何一部分分派或委派给任何第三方，劳务派遣人员的数量不超过其现场人员的20%（且必须事先得到甲方的书面同意）。</w:t>
      </w:r>
    </w:p>
    <w:p>
      <w:pPr>
        <w:pStyle w:val="43"/>
        <w:numPr>
          <w:ilvl w:val="0"/>
          <w:numId w:val="14"/>
        </w:numPr>
        <w:spacing w:line="360" w:lineRule="auto"/>
        <w:ind w:firstLineChars="0"/>
        <w:rPr>
          <w:rFonts w:ascii="宋体" w:hAnsi="宋体"/>
          <w:szCs w:val="21"/>
        </w:rPr>
      </w:pPr>
      <w:r>
        <w:rPr>
          <w:rFonts w:hint="eastAsia" w:ascii="宋体" w:hAnsi="宋体"/>
          <w:szCs w:val="21"/>
        </w:rPr>
        <w:t>不可抗力发生后，乙方应迅速采取措施，尽量按合同规定的质量、工期顺利完成施工，尽量减少损失。如果乙方未采取积极措施防止损失扩大，所造成损失由乙方承担。</w:t>
      </w:r>
    </w:p>
    <w:p>
      <w:pPr>
        <w:pStyle w:val="43"/>
        <w:numPr>
          <w:ilvl w:val="0"/>
          <w:numId w:val="14"/>
        </w:numPr>
        <w:spacing w:line="360" w:lineRule="auto"/>
        <w:ind w:firstLineChars="0"/>
        <w:rPr>
          <w:rFonts w:ascii="宋体" w:hAnsi="宋体"/>
          <w:szCs w:val="21"/>
        </w:rPr>
      </w:pPr>
      <w:r>
        <w:rPr>
          <w:rFonts w:hint="eastAsia" w:ascii="宋体" w:hAnsi="宋体"/>
          <w:szCs w:val="21"/>
        </w:rPr>
        <w:t>如果国家、行业规定必须报检、备案、批准的，乙方必须按照要求进行报检、备案、批准，相关费用由乙方承担。</w:t>
      </w:r>
    </w:p>
    <w:p>
      <w:pPr>
        <w:pStyle w:val="43"/>
        <w:numPr>
          <w:ilvl w:val="0"/>
          <w:numId w:val="14"/>
        </w:numPr>
        <w:spacing w:line="360" w:lineRule="auto"/>
        <w:ind w:firstLineChars="0"/>
        <w:rPr>
          <w:rFonts w:ascii="宋体" w:hAnsi="宋体"/>
          <w:szCs w:val="21"/>
        </w:rPr>
      </w:pPr>
      <w:r>
        <w:rPr>
          <w:rFonts w:hint="eastAsia" w:ascii="宋体" w:hAnsi="宋体"/>
          <w:szCs w:val="21"/>
        </w:rPr>
        <w:t>乙方施工的工具机械必须是先进、符合甲方要求的。</w:t>
      </w:r>
    </w:p>
    <w:p>
      <w:pPr>
        <w:pStyle w:val="43"/>
        <w:numPr>
          <w:ilvl w:val="0"/>
          <w:numId w:val="14"/>
        </w:numPr>
        <w:spacing w:line="360" w:lineRule="auto"/>
        <w:ind w:firstLineChars="0"/>
        <w:rPr>
          <w:rFonts w:ascii="宋体" w:hAnsi="宋体"/>
          <w:szCs w:val="21"/>
        </w:rPr>
      </w:pPr>
      <w:r>
        <w:rPr>
          <w:rFonts w:hint="eastAsia" w:ascii="宋体" w:hAnsi="宋体"/>
          <w:szCs w:val="21"/>
        </w:rPr>
        <w:t>乙方在施工过程中应节约用水、用电。</w:t>
      </w:r>
    </w:p>
    <w:p>
      <w:pPr>
        <w:pStyle w:val="43"/>
        <w:numPr>
          <w:ilvl w:val="0"/>
          <w:numId w:val="14"/>
        </w:numPr>
        <w:spacing w:line="360" w:lineRule="auto"/>
        <w:ind w:firstLineChars="0"/>
        <w:rPr>
          <w:rFonts w:ascii="宋体" w:hAnsi="宋体"/>
          <w:szCs w:val="21"/>
        </w:rPr>
      </w:pPr>
      <w:r>
        <w:rPr>
          <w:rFonts w:hint="eastAsia" w:ascii="宋体" w:hAnsi="宋体"/>
          <w:szCs w:val="21"/>
        </w:rPr>
        <w:t>本工程以施工图纸、施工方案、施工工法、和国家制订的相关施工及验收规范为质量评定验收标准。</w:t>
      </w:r>
    </w:p>
    <w:p>
      <w:pPr>
        <w:pStyle w:val="43"/>
        <w:numPr>
          <w:ilvl w:val="0"/>
          <w:numId w:val="14"/>
        </w:numPr>
        <w:spacing w:line="360" w:lineRule="auto"/>
        <w:ind w:firstLineChars="0"/>
        <w:rPr>
          <w:rFonts w:ascii="宋体" w:hAnsi="宋体"/>
          <w:szCs w:val="21"/>
        </w:rPr>
      </w:pPr>
      <w:r>
        <w:rPr>
          <w:rFonts w:hint="eastAsia" w:ascii="宋体" w:hAnsi="宋体"/>
          <w:szCs w:val="21"/>
        </w:rPr>
        <w:t>由于乙方原因造成质量事故，其返工费用由乙方承担，工期不予顺延。</w:t>
      </w:r>
    </w:p>
    <w:p>
      <w:pPr>
        <w:pStyle w:val="43"/>
        <w:numPr>
          <w:ilvl w:val="0"/>
          <w:numId w:val="14"/>
        </w:numPr>
        <w:spacing w:line="360" w:lineRule="auto"/>
        <w:ind w:firstLineChars="0"/>
        <w:rPr>
          <w:rFonts w:ascii="宋体" w:hAnsi="宋体"/>
          <w:szCs w:val="21"/>
        </w:rPr>
      </w:pPr>
      <w:r>
        <w:rPr>
          <w:rFonts w:hint="eastAsia" w:ascii="宋体" w:hAnsi="宋体"/>
          <w:szCs w:val="21"/>
        </w:rPr>
        <w:t>本工程保修期为</w:t>
      </w:r>
      <w:r>
        <w:rPr>
          <w:rFonts w:hint="eastAsia" w:ascii="宋体" w:hAnsi="宋体"/>
          <w:szCs w:val="21"/>
          <w:u w:val="single"/>
        </w:rPr>
        <w:t xml:space="preserve">  </w:t>
      </w:r>
      <w:r>
        <w:rPr>
          <w:rFonts w:ascii="宋体" w:hAnsi="宋体"/>
          <w:szCs w:val="21"/>
          <w:u w:val="single"/>
        </w:rPr>
        <w:t>1</w:t>
      </w:r>
      <w:r>
        <w:rPr>
          <w:rFonts w:hint="eastAsia" w:ascii="宋体" w:hAnsi="宋体"/>
          <w:szCs w:val="21"/>
          <w:u w:val="single"/>
        </w:rPr>
        <w:t xml:space="preserve">  </w:t>
      </w:r>
      <w:r>
        <w:rPr>
          <w:rFonts w:hint="eastAsia" w:ascii="宋体" w:hAnsi="宋体"/>
          <w:szCs w:val="21"/>
        </w:rPr>
        <w:t>年，自工程交付竣工验收合格之日起计，对乙方的施工部位及内容免费维修。乙方保修责任自工程交付竣工验收合格之日开始履行。</w:t>
      </w:r>
    </w:p>
    <w:p>
      <w:pPr>
        <w:pStyle w:val="43"/>
        <w:numPr>
          <w:ilvl w:val="0"/>
          <w:numId w:val="14"/>
        </w:numPr>
        <w:spacing w:line="360" w:lineRule="auto"/>
        <w:ind w:firstLineChars="0"/>
        <w:rPr>
          <w:rFonts w:ascii="宋体" w:hAnsi="宋体"/>
          <w:szCs w:val="21"/>
        </w:rPr>
      </w:pPr>
      <w:r>
        <w:rPr>
          <w:rFonts w:hint="eastAsia" w:ascii="宋体" w:hAnsi="宋体"/>
          <w:szCs w:val="21"/>
        </w:rPr>
        <w:t>保修期内如因乙方施工责任引起的质量缺陷，由乙方无偿返修。</w:t>
      </w:r>
    </w:p>
    <w:p>
      <w:pPr>
        <w:pStyle w:val="43"/>
        <w:numPr>
          <w:ilvl w:val="0"/>
          <w:numId w:val="14"/>
        </w:numPr>
        <w:spacing w:line="360" w:lineRule="auto"/>
        <w:ind w:firstLineChars="0"/>
        <w:rPr>
          <w:rFonts w:ascii="宋体" w:hAnsi="宋体"/>
          <w:szCs w:val="21"/>
        </w:rPr>
      </w:pPr>
      <w:r>
        <w:rPr>
          <w:rFonts w:hint="eastAsia" w:ascii="宋体" w:hAnsi="宋体"/>
          <w:szCs w:val="21"/>
        </w:rPr>
        <w:t>工程完工后24小时内乙方自检合格后须及时向甲方及时提出验收申请。逾期视为乙方拖延工期。</w:t>
      </w:r>
    </w:p>
    <w:p>
      <w:pPr>
        <w:pStyle w:val="43"/>
        <w:numPr>
          <w:ilvl w:val="0"/>
          <w:numId w:val="14"/>
        </w:numPr>
        <w:spacing w:line="360" w:lineRule="auto"/>
        <w:ind w:firstLineChars="0"/>
        <w:rPr>
          <w:rFonts w:ascii="宋体" w:hAnsi="宋体"/>
          <w:szCs w:val="21"/>
        </w:rPr>
      </w:pPr>
      <w:r>
        <w:rPr>
          <w:rFonts w:hint="eastAsia" w:ascii="宋体" w:hAnsi="宋体"/>
          <w:szCs w:val="21"/>
        </w:rPr>
        <w:t>乙方逾期完工或因质量问题返工而延误工期，从逾期次日起，每天按照合同价款的</w:t>
      </w:r>
      <w:r>
        <w:rPr>
          <w:rFonts w:hint="eastAsia" w:ascii="宋体" w:hAnsi="宋体"/>
          <w:szCs w:val="21"/>
          <w:u w:val="single"/>
        </w:rPr>
        <w:t>1%</w:t>
      </w:r>
      <w:r>
        <w:rPr>
          <w:rFonts w:hint="eastAsia" w:ascii="宋体" w:hAnsi="宋体"/>
          <w:szCs w:val="21"/>
        </w:rPr>
        <w:t>向甲方支付违约金。</w:t>
      </w:r>
    </w:p>
    <w:p>
      <w:pPr>
        <w:pStyle w:val="43"/>
        <w:numPr>
          <w:ilvl w:val="0"/>
          <w:numId w:val="14"/>
        </w:numPr>
        <w:spacing w:line="360" w:lineRule="auto"/>
        <w:ind w:firstLineChars="0"/>
        <w:rPr>
          <w:rFonts w:ascii="宋体" w:hAnsi="宋体"/>
          <w:szCs w:val="21"/>
        </w:rPr>
      </w:pPr>
      <w:r>
        <w:rPr>
          <w:rFonts w:hint="eastAsia" w:ascii="宋体" w:hAnsi="宋体"/>
          <w:szCs w:val="21"/>
        </w:rPr>
        <w:t>乙方自行负责在施工过程中因乙方原因造成其人员伤亡引起的赔偿责任。</w:t>
      </w:r>
    </w:p>
    <w:p>
      <w:pPr>
        <w:pStyle w:val="43"/>
        <w:numPr>
          <w:ilvl w:val="0"/>
          <w:numId w:val="14"/>
        </w:numPr>
        <w:spacing w:line="360" w:lineRule="auto"/>
        <w:ind w:firstLineChars="0"/>
        <w:rPr>
          <w:rFonts w:ascii="宋体" w:hAnsi="宋体"/>
          <w:szCs w:val="21"/>
        </w:rPr>
      </w:pPr>
      <w:r>
        <w:rPr>
          <w:rFonts w:hint="eastAsia" w:ascii="宋体" w:hAnsi="宋体"/>
          <w:szCs w:val="21"/>
        </w:rPr>
        <w:t>因乙方或其人员的原因给甲方或者第三方造成人身伤害或者财产损害的，由乙方承担赔偿责任。</w:t>
      </w:r>
    </w:p>
    <w:p>
      <w:pPr>
        <w:pStyle w:val="43"/>
        <w:numPr>
          <w:ilvl w:val="0"/>
          <w:numId w:val="14"/>
        </w:numPr>
        <w:spacing w:line="360" w:lineRule="auto"/>
        <w:ind w:firstLineChars="0"/>
        <w:rPr>
          <w:rFonts w:hint="eastAsia" w:ascii="宋体" w:hAnsi="宋体"/>
          <w:szCs w:val="21"/>
        </w:rPr>
      </w:pPr>
      <w:r>
        <w:rPr>
          <w:rFonts w:hint="eastAsia" w:ascii="宋体" w:hAnsi="宋体"/>
          <w:szCs w:val="21"/>
        </w:rPr>
        <w:t>本合同所指损失包括权利受侵害方的实际损失和预期利益损失、诉讼或仲裁费以及合理的调查费、律师费、差旅费等费用。</w:t>
      </w:r>
    </w:p>
    <w:p>
      <w:pPr>
        <w:pStyle w:val="43"/>
        <w:numPr>
          <w:ilvl w:val="0"/>
          <w:numId w:val="14"/>
        </w:numPr>
        <w:spacing w:line="360" w:lineRule="auto"/>
        <w:ind w:firstLineChars="0"/>
        <w:rPr>
          <w:rFonts w:ascii="宋体" w:hAnsi="宋体"/>
          <w:szCs w:val="21"/>
          <w:highlight w:val="none"/>
        </w:rPr>
      </w:pPr>
      <w:r>
        <w:rPr>
          <w:rFonts w:hint="eastAsia" w:ascii="宋体" w:hAnsi="宋体"/>
          <w:szCs w:val="21"/>
        </w:rPr>
        <w:t>乙方应确保工人工资的按期足额发放，如因拖欠工人工资导致工人讨薪、聚众扰民事件，或乙方的任何人员（包括其雇佣人员）未经甲方的同意，以索要工资、工程价款等名义，擅自进入建设单位、监理、甲方办公区或工程现场妨碍建设单位、监理、甲方工作人员正常办公，或影响正常施工，或做出任何影响甲方和建设单位声誉的行为出现时，甲方无须通知乙方或征得乙方的同意，可按工人提出的拖欠工资额直接向其支付工资，并从乙方工程款中双</w:t>
      </w:r>
      <w:r>
        <w:rPr>
          <w:rFonts w:hint="eastAsia" w:ascii="宋体" w:hAnsi="宋体"/>
          <w:szCs w:val="21"/>
          <w:highlight w:val="none"/>
        </w:rPr>
        <w:t>倍扣除。</w:t>
      </w:r>
    </w:p>
    <w:p>
      <w:pPr>
        <w:pStyle w:val="43"/>
        <w:numPr>
          <w:ilvl w:val="0"/>
          <w:numId w:val="14"/>
        </w:numPr>
        <w:spacing w:line="360" w:lineRule="auto"/>
        <w:ind w:firstLineChars="0"/>
        <w:rPr>
          <w:rFonts w:hint="eastAsia" w:ascii="宋体" w:hAnsi="宋体"/>
          <w:szCs w:val="21"/>
        </w:rPr>
      </w:pPr>
      <w:r>
        <w:rPr>
          <w:rFonts w:hint="eastAsia" w:ascii="宋体" w:hAnsi="宋体"/>
          <w:szCs w:val="21"/>
        </w:rPr>
        <w:t>项目开工前，乙方应向甲方提供乙方与乙方施工人员之间签署的劳动合同复印件、所有进场工作人员确认名单及所有进场工作人员签署的声明（格式如下）</w:t>
      </w:r>
    </w:p>
    <w:p>
      <w:pPr>
        <w:pStyle w:val="43"/>
        <w:spacing w:line="360" w:lineRule="auto"/>
        <w:ind w:left="420" w:firstLine="0" w:firstLineChars="0"/>
        <w:rPr>
          <w:rFonts w:hint="eastAsia" w:ascii="宋体" w:hAnsi="宋体"/>
          <w:szCs w:val="21"/>
        </w:rPr>
      </w:pPr>
      <w:r>
        <w:rPr>
          <w:rFonts w:hint="eastAsia" w:ascii="宋体" w:hAnsi="宋体"/>
          <w:szCs w:val="21"/>
        </w:rPr>
        <w:t>格式1：乙方工作人员确认名单</w:t>
      </w:r>
    </w:p>
    <w:tbl>
      <w:tblPr>
        <w:tblStyle w:val="27"/>
        <w:tblW w:w="9180" w:type="dxa"/>
        <w:jc w:val="center"/>
        <w:tblLayout w:type="fixed"/>
        <w:tblCellMar>
          <w:top w:w="0" w:type="dxa"/>
          <w:left w:w="108" w:type="dxa"/>
          <w:bottom w:w="0" w:type="dxa"/>
          <w:right w:w="108" w:type="dxa"/>
        </w:tblCellMar>
      </w:tblPr>
      <w:tblGrid>
        <w:gridCol w:w="801"/>
        <w:gridCol w:w="1455"/>
        <w:gridCol w:w="1396"/>
        <w:gridCol w:w="2552"/>
        <w:gridCol w:w="1134"/>
        <w:gridCol w:w="1134"/>
        <w:gridCol w:w="708"/>
      </w:tblGrid>
      <w:tr>
        <w:tblPrEx>
          <w:tblCellMar>
            <w:top w:w="0" w:type="dxa"/>
            <w:left w:w="108" w:type="dxa"/>
            <w:bottom w:w="0" w:type="dxa"/>
            <w:right w:w="108" w:type="dxa"/>
          </w:tblCellMar>
        </w:tblPrEx>
        <w:trPr>
          <w:trHeight w:val="40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序号</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姓名</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身份证号码</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与乙方的劳动合同期限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联系方式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签名确认</w:t>
            </w: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备注</w:t>
            </w:r>
          </w:p>
        </w:tc>
      </w:tr>
      <w:tr>
        <w:tblPrEx>
          <w:tblCellMar>
            <w:top w:w="0" w:type="dxa"/>
            <w:left w:w="108" w:type="dxa"/>
            <w:bottom w:w="0" w:type="dxa"/>
            <w:right w:w="108" w:type="dxa"/>
          </w:tblCellMar>
        </w:tblPrEx>
        <w:trPr>
          <w:trHeight w:val="105"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1</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r>
      <w:tr>
        <w:tblPrEx>
          <w:tblCellMar>
            <w:top w:w="0" w:type="dxa"/>
            <w:left w:w="108" w:type="dxa"/>
            <w:bottom w:w="0" w:type="dxa"/>
            <w:right w:w="108" w:type="dxa"/>
          </w:tblCellMar>
        </w:tblPrEx>
        <w:trPr>
          <w:trHeight w:val="105"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r>
              <w:rPr>
                <w:rFonts w:hint="eastAsia" w:ascii="宋体" w:hAnsi="宋体"/>
                <w:bCs/>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1396"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5"/>
              <w:jc w:val="center"/>
              <w:rPr>
                <w:rFonts w:ascii="宋体" w:hAnsi="宋体"/>
                <w:bCs/>
                <w:color w:val="auto"/>
                <w:sz w:val="21"/>
                <w:szCs w:val="21"/>
              </w:rPr>
            </w:pPr>
          </w:p>
        </w:tc>
      </w:tr>
    </w:tbl>
    <w:p>
      <w:pPr>
        <w:pStyle w:val="43"/>
        <w:numPr>
          <w:ilvl w:val="0"/>
          <w:numId w:val="14"/>
        </w:numPr>
        <w:spacing w:line="360" w:lineRule="auto"/>
        <w:ind w:firstLineChars="0"/>
        <w:rPr>
          <w:rFonts w:hint="eastAsia" w:ascii="宋体" w:hAnsi="宋体"/>
          <w:szCs w:val="21"/>
        </w:rPr>
      </w:pPr>
      <w:r>
        <w:rPr>
          <w:rFonts w:hint="eastAsia" w:ascii="宋体" w:hAnsi="宋体"/>
          <w:szCs w:val="21"/>
        </w:rPr>
        <w:t>乙方所有参与本工程作业的人员包括施工管理人员，在进场前，须向甲方出示并递交进场人员的花名册及其身份证、特殊岗位操作（合格）证，及按照建设当地有关政府部门的要求须出示的其它相关证件的原件，并向甲方递交相应的复印件。</w:t>
      </w:r>
    </w:p>
    <w:p>
      <w:pPr>
        <w:pStyle w:val="43"/>
        <w:numPr>
          <w:ilvl w:val="0"/>
          <w:numId w:val="14"/>
        </w:numPr>
        <w:spacing w:line="360" w:lineRule="auto"/>
        <w:ind w:firstLineChars="0"/>
        <w:rPr>
          <w:rFonts w:hint="eastAsia" w:ascii="宋体" w:hAnsi="宋体"/>
          <w:szCs w:val="21"/>
        </w:rPr>
      </w:pPr>
      <w:r>
        <w:rPr>
          <w:rFonts w:hint="eastAsia" w:ascii="宋体" w:hAnsi="宋体"/>
          <w:szCs w:val="21"/>
        </w:rPr>
        <w:t>乙方严禁雇佣未成年人及年龄超过</w:t>
      </w:r>
      <w:r>
        <w:rPr>
          <w:rFonts w:ascii="宋体" w:hAnsi="宋体"/>
          <w:szCs w:val="21"/>
        </w:rPr>
        <w:t>60周</w:t>
      </w:r>
      <w:r>
        <w:rPr>
          <w:rFonts w:hint="eastAsia" w:ascii="宋体" w:hAnsi="宋体"/>
          <w:szCs w:val="21"/>
        </w:rPr>
        <w:t>岁的现场作业人员（特种作业人员不得高于5</w:t>
      </w:r>
      <w:r>
        <w:rPr>
          <w:rFonts w:ascii="宋体" w:hAnsi="宋体"/>
          <w:szCs w:val="21"/>
        </w:rPr>
        <w:t>0周岁）</w:t>
      </w:r>
      <w:r>
        <w:rPr>
          <w:rFonts w:hint="eastAsia" w:ascii="宋体" w:hAnsi="宋体"/>
          <w:szCs w:val="21"/>
        </w:rPr>
        <w:t>。若因乙方违反这一规定，造成的所有责任全部由乙方承担，并赔偿由此给甲方造成的损失。</w:t>
      </w:r>
    </w:p>
    <w:p>
      <w:pPr>
        <w:numPr>
          <w:ilvl w:val="0"/>
          <w:numId w:val="6"/>
        </w:numPr>
        <w:spacing w:before="120" w:beforeLines="50" w:after="120" w:afterLines="50" w:line="360" w:lineRule="auto"/>
        <w:ind w:left="448" w:hanging="448"/>
        <w:outlineLvl w:val="0"/>
        <w:rPr>
          <w:rFonts w:ascii="宋体" w:hAnsi="宋体"/>
          <w:b/>
          <w:sz w:val="21"/>
          <w:szCs w:val="21"/>
        </w:rPr>
      </w:pPr>
      <w:bookmarkStart w:id="10" w:name="_Toc106654961"/>
      <w:r>
        <w:rPr>
          <w:rFonts w:ascii="宋体" w:hAnsi="宋体"/>
          <w:b/>
          <w:sz w:val="21"/>
          <w:szCs w:val="21"/>
        </w:rPr>
        <w:t>知识产权</w:t>
      </w:r>
      <w:bookmarkEnd w:id="10"/>
    </w:p>
    <w:p>
      <w:pPr>
        <w:numPr>
          <w:ilvl w:val="0"/>
          <w:numId w:val="15"/>
        </w:numPr>
        <w:spacing w:line="360" w:lineRule="auto"/>
        <w:rPr>
          <w:rFonts w:hint="eastAsia" w:ascii="宋体" w:hAnsi="宋体"/>
          <w:sz w:val="21"/>
          <w:szCs w:val="21"/>
          <w:lang w:val="en-US"/>
        </w:rPr>
      </w:pPr>
      <w:r>
        <w:rPr>
          <w:rFonts w:hint="eastAsia" w:ascii="宋体" w:hAnsi="宋体"/>
          <w:sz w:val="21"/>
          <w:szCs w:val="21"/>
          <w:lang w:val="en-US"/>
        </w:rPr>
        <w:t>双方均应保护对方的知识产权，未经对方同意，任何一方均不得擅自修改、复制或向第三方转让从对方取得的资料及文件，也不得将上述资料或文件用于本项目以外的其他项目。</w:t>
      </w:r>
    </w:p>
    <w:p>
      <w:pPr>
        <w:numPr>
          <w:ilvl w:val="0"/>
          <w:numId w:val="15"/>
        </w:numPr>
        <w:spacing w:line="360" w:lineRule="auto"/>
        <w:rPr>
          <w:rFonts w:hint="eastAsia" w:ascii="宋体" w:hAnsi="宋体"/>
          <w:sz w:val="21"/>
          <w:szCs w:val="21"/>
          <w:lang w:val="en-US"/>
        </w:rPr>
      </w:pPr>
      <w:r>
        <w:rPr>
          <w:rFonts w:hint="eastAsia" w:ascii="宋体" w:hAnsi="宋体"/>
          <w:sz w:val="21"/>
          <w:szCs w:val="21"/>
          <w:lang w:val="en-US"/>
        </w:rPr>
        <w:t>乙方应保证其向甲方提供的文件或其他资料未侵犯第三方的专利权、商标权、版权等知识产权，因乙方或其代表提供或指定的文件或资料导致任何专利权、商标权、版权或其它知识产权受到侵犯或据称受到侵犯时，乙方应负责处理由此引起的一切事务（包括进行相关的谈判、参与索赔程序等），并保证甲方、其雇员、管理人员和其他相关方免于遭受由此产生的任何起诉、索赔、要求、损失、费用（包括可能发生的律师费）的损害。</w:t>
      </w:r>
    </w:p>
    <w:p>
      <w:pPr>
        <w:numPr>
          <w:ilvl w:val="0"/>
          <w:numId w:val="15"/>
        </w:numPr>
        <w:spacing w:line="360" w:lineRule="auto"/>
        <w:rPr>
          <w:rFonts w:hint="eastAsia" w:ascii="宋体" w:hAnsi="宋体"/>
          <w:sz w:val="21"/>
          <w:szCs w:val="21"/>
          <w:lang w:val="en-US"/>
        </w:rPr>
      </w:pPr>
      <w:r>
        <w:rPr>
          <w:rFonts w:hint="eastAsia" w:ascii="宋体" w:hAnsi="宋体"/>
          <w:sz w:val="21"/>
          <w:szCs w:val="21"/>
          <w:lang w:val="en-US"/>
        </w:rPr>
        <w:t>因乙方提供的文件或资料侵犯第三方的专利权、商标权、版权等知识产权而导致甲方遭受侵权索赔时，甲方将立即就此向乙方发出书面通知，乙方在接到甲方的书面通知后应承担由此产生的一切费用并以甲方的名义处理该索赔，包括为解决此类索赔而进行谈判、仲裁或诉讼。</w:t>
      </w:r>
    </w:p>
    <w:p>
      <w:pPr>
        <w:numPr>
          <w:ilvl w:val="0"/>
          <w:numId w:val="15"/>
        </w:numPr>
        <w:spacing w:line="360" w:lineRule="auto"/>
        <w:rPr>
          <w:rFonts w:hint="eastAsia" w:ascii="宋体" w:hAnsi="宋体"/>
          <w:sz w:val="21"/>
          <w:szCs w:val="21"/>
          <w:lang w:val="en-US"/>
        </w:rPr>
      </w:pPr>
      <w:r>
        <w:rPr>
          <w:rFonts w:hint="eastAsia" w:ascii="宋体" w:hAnsi="宋体"/>
          <w:sz w:val="21"/>
          <w:szCs w:val="21"/>
          <w:lang w:val="en-US"/>
        </w:rPr>
        <w:t>如果乙方在收到甲方发出的上述通知后在规定的时间内 未能通知甲方其打算处理此类索赔或未按照其承诺处理索赔，甲方可自行出面处理，由此产生的一切费用（包括甲方需承担的赔偿责任）由乙方承担。</w:t>
      </w:r>
    </w:p>
    <w:p>
      <w:pPr>
        <w:numPr>
          <w:ilvl w:val="0"/>
          <w:numId w:val="15"/>
        </w:numPr>
        <w:spacing w:line="360" w:lineRule="auto"/>
        <w:rPr>
          <w:rFonts w:hint="eastAsia" w:ascii="宋体" w:hAnsi="宋体"/>
          <w:sz w:val="21"/>
          <w:szCs w:val="21"/>
          <w:lang w:val="en-US"/>
        </w:rPr>
      </w:pPr>
      <w:r>
        <w:rPr>
          <w:rFonts w:hint="eastAsia" w:ascii="宋体" w:hAnsi="宋体"/>
          <w:sz w:val="21"/>
          <w:szCs w:val="21"/>
          <w:lang w:val="en-US"/>
        </w:rPr>
        <w:t>本项目形成的专利、技术秘密等知识产权归甲方所有。双方共同拥有使用权。如向第三方转让或许可使用项目相关知识产权，需经双方书面同意后进行。</w:t>
      </w:r>
    </w:p>
    <w:p>
      <w:pPr>
        <w:numPr>
          <w:ilvl w:val="0"/>
          <w:numId w:val="15"/>
        </w:numPr>
        <w:spacing w:line="360" w:lineRule="auto"/>
        <w:rPr>
          <w:rFonts w:hint="eastAsia" w:ascii="宋体" w:hAnsi="宋体"/>
          <w:sz w:val="21"/>
          <w:szCs w:val="21"/>
          <w:lang w:val="en-US"/>
        </w:rPr>
      </w:pPr>
      <w:r>
        <w:rPr>
          <w:rFonts w:hint="eastAsia" w:ascii="宋体" w:hAnsi="宋体"/>
          <w:sz w:val="21"/>
          <w:szCs w:val="21"/>
          <w:lang w:val="en-US"/>
        </w:rPr>
        <w:t>项目研究人员发表论文、著作必须得到甲方书面许可。</w:t>
      </w:r>
    </w:p>
    <w:p>
      <w:pPr>
        <w:numPr>
          <w:ilvl w:val="0"/>
          <w:numId w:val="6"/>
        </w:numPr>
        <w:spacing w:before="120" w:beforeLines="50" w:after="120" w:afterLines="50" w:line="360" w:lineRule="auto"/>
        <w:ind w:left="448" w:hanging="448"/>
        <w:outlineLvl w:val="0"/>
        <w:rPr>
          <w:rFonts w:ascii="宋体" w:hAnsi="宋体"/>
          <w:b/>
          <w:sz w:val="21"/>
          <w:szCs w:val="21"/>
        </w:rPr>
      </w:pPr>
      <w:bookmarkStart w:id="11" w:name="_Toc106654962"/>
      <w:r>
        <w:rPr>
          <w:rFonts w:hint="eastAsia" w:ascii="宋体" w:hAnsi="宋体"/>
          <w:b/>
          <w:sz w:val="21"/>
          <w:szCs w:val="21"/>
        </w:rPr>
        <w:t>保密条款</w:t>
      </w:r>
      <w:bookmarkEnd w:id="11"/>
    </w:p>
    <w:p>
      <w:pPr>
        <w:numPr>
          <w:ilvl w:val="0"/>
          <w:numId w:val="16"/>
        </w:numPr>
        <w:spacing w:line="360" w:lineRule="auto"/>
        <w:rPr>
          <w:rFonts w:ascii="宋体" w:hAnsi="宋体"/>
          <w:sz w:val="21"/>
          <w:szCs w:val="21"/>
          <w:lang w:val="en-US"/>
        </w:rPr>
      </w:pPr>
      <w:r>
        <w:rPr>
          <w:rFonts w:hint="eastAsia" w:ascii="宋体" w:hAnsi="宋体"/>
          <w:sz w:val="21"/>
          <w:szCs w:val="21"/>
          <w:lang w:val="en-US"/>
        </w:rPr>
        <w:t>甲方和乙方双方保证对在讨论、签订、执行本合同过程中所获悉的属于对方的且无法自公开渠道获得的文件及资料（包括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numPr>
          <w:ilvl w:val="0"/>
          <w:numId w:val="16"/>
        </w:numPr>
        <w:spacing w:line="360" w:lineRule="auto"/>
        <w:rPr>
          <w:rFonts w:hint="eastAsia" w:ascii="宋体" w:hAnsi="宋体"/>
          <w:sz w:val="21"/>
          <w:szCs w:val="21"/>
          <w:lang w:val="en-US"/>
        </w:rPr>
      </w:pPr>
      <w:r>
        <w:rPr>
          <w:rFonts w:hint="eastAsia" w:ascii="宋体" w:hAnsi="宋体"/>
          <w:sz w:val="21"/>
          <w:szCs w:val="21"/>
          <w:lang w:val="en-US"/>
        </w:rPr>
        <w:t>对于甲方提供的有关施工图纸和技术资料，乙方有保密义务，不得擅自将甲方要求保密的资料引用、发表和提供给第三方，且上述保密责任或义务不因合同的终止而终止；否则，乙方应向甲方支付合同总价【1</w:t>
      </w:r>
      <w:r>
        <w:rPr>
          <w:rFonts w:ascii="宋体" w:hAnsi="宋体"/>
          <w:sz w:val="21"/>
          <w:szCs w:val="21"/>
          <w:lang w:val="en-US"/>
        </w:rPr>
        <w:t>0%</w:t>
      </w:r>
      <w:r>
        <w:rPr>
          <w:rFonts w:hint="eastAsia" w:ascii="宋体" w:hAnsi="宋体"/>
          <w:sz w:val="21"/>
          <w:szCs w:val="21"/>
          <w:lang w:val="en-US"/>
        </w:rPr>
        <w:t>】违约金，如违约金不能弥补甲方受到的损失，乙方应另行予以赔偿。</w:t>
      </w:r>
    </w:p>
    <w:p>
      <w:pPr>
        <w:numPr>
          <w:ilvl w:val="0"/>
          <w:numId w:val="16"/>
        </w:numPr>
        <w:spacing w:line="360" w:lineRule="auto"/>
        <w:rPr>
          <w:rFonts w:ascii="宋体" w:hAnsi="宋体"/>
          <w:sz w:val="21"/>
          <w:szCs w:val="21"/>
          <w:lang w:val="en-US"/>
        </w:rPr>
      </w:pPr>
      <w:r>
        <w:rPr>
          <w:rFonts w:hint="eastAsia" w:ascii="宋体" w:hAnsi="宋体"/>
          <w:sz w:val="21"/>
          <w:szCs w:val="21"/>
          <w:lang w:val="en-US"/>
        </w:rPr>
        <w:t>除非得到甲方的书面许可，乙方不得将本合同中的内容及在本合同执行过程中获得的对方的商业信息向任何第三方泄露。</w:t>
      </w:r>
    </w:p>
    <w:p>
      <w:pPr>
        <w:numPr>
          <w:ilvl w:val="0"/>
          <w:numId w:val="16"/>
        </w:numPr>
        <w:spacing w:line="360" w:lineRule="auto"/>
        <w:rPr>
          <w:rFonts w:hint="eastAsia" w:ascii="宋体" w:hAnsi="宋体"/>
          <w:sz w:val="21"/>
          <w:szCs w:val="21"/>
          <w:lang w:val="en-US"/>
        </w:rPr>
      </w:pPr>
      <w:r>
        <w:rPr>
          <w:rFonts w:hint="eastAsia" w:ascii="宋体" w:hAnsi="宋体"/>
          <w:sz w:val="21"/>
          <w:szCs w:val="21"/>
          <w:lang w:val="en-US"/>
        </w:rPr>
        <w:t>如施工现场发生任何事故，包括但不限于人身损害、火灾、工程质量、环保异常信息问题等，未经甲方书面同意，乙方不得向第三方作任何宣传或者向第三方泄露。否则视情节严重情况，乙方应向甲方支付不少于十万元人民币的违约金；如果本条约定的违约金不足以弥补因违反保密义务而给受害方造成的损失，受害方有权进一步向对方追索损失赔偿。</w:t>
      </w:r>
    </w:p>
    <w:p>
      <w:pPr>
        <w:numPr>
          <w:ilvl w:val="0"/>
          <w:numId w:val="16"/>
        </w:numPr>
        <w:spacing w:line="360" w:lineRule="auto"/>
        <w:rPr>
          <w:rFonts w:hint="eastAsia" w:ascii="宋体" w:hAnsi="宋体"/>
          <w:sz w:val="21"/>
          <w:szCs w:val="21"/>
          <w:lang w:val="en-US"/>
        </w:rPr>
      </w:pPr>
      <w:r>
        <w:rPr>
          <w:rFonts w:hint="eastAsia" w:ascii="宋体" w:hAnsi="宋体"/>
          <w:sz w:val="21"/>
          <w:szCs w:val="21"/>
          <w:lang w:val="en-US"/>
        </w:rPr>
        <w:t>在双方合同或合作期内，无论上述违约金给付与否，受害方均有权立即解除与违约方的合同关系，因解除合同所造成的合同赔偿损失由违约方另行承担。</w:t>
      </w:r>
    </w:p>
    <w:p>
      <w:pPr>
        <w:numPr>
          <w:ilvl w:val="0"/>
          <w:numId w:val="16"/>
        </w:numPr>
        <w:spacing w:line="360" w:lineRule="auto"/>
        <w:rPr>
          <w:rFonts w:ascii="宋体" w:hAnsi="宋体"/>
          <w:sz w:val="21"/>
          <w:szCs w:val="21"/>
          <w:lang w:val="en-US"/>
        </w:rPr>
      </w:pPr>
      <w:r>
        <w:rPr>
          <w:rFonts w:hint="eastAsia" w:ascii="宋体" w:hAnsi="宋体"/>
          <w:sz w:val="21"/>
          <w:szCs w:val="21"/>
          <w:lang w:val="en-US"/>
        </w:rPr>
        <w:t>本保密义务应在本合同期满、解除或终止后仍然有效。</w:t>
      </w:r>
    </w:p>
    <w:p>
      <w:pPr>
        <w:numPr>
          <w:ilvl w:val="0"/>
          <w:numId w:val="6"/>
        </w:numPr>
        <w:spacing w:before="120" w:beforeLines="50" w:after="120" w:afterLines="50" w:line="360" w:lineRule="auto"/>
        <w:ind w:left="448" w:hanging="448"/>
        <w:outlineLvl w:val="0"/>
        <w:rPr>
          <w:rFonts w:hint="eastAsia" w:ascii="宋体" w:hAnsi="宋体"/>
          <w:b/>
          <w:sz w:val="21"/>
          <w:szCs w:val="21"/>
        </w:rPr>
      </w:pPr>
      <w:bookmarkStart w:id="12" w:name="_Toc106654963"/>
      <w:r>
        <w:rPr>
          <w:rFonts w:hint="eastAsia" w:ascii="宋体" w:hAnsi="宋体"/>
          <w:b/>
          <w:sz w:val="21"/>
          <w:szCs w:val="21"/>
        </w:rPr>
        <w:t>违约责任</w:t>
      </w:r>
      <w:bookmarkEnd w:id="12"/>
    </w:p>
    <w:p>
      <w:pPr>
        <w:numPr>
          <w:ilvl w:val="0"/>
          <w:numId w:val="17"/>
        </w:numPr>
        <w:spacing w:line="360" w:lineRule="auto"/>
        <w:rPr>
          <w:rFonts w:ascii="宋体" w:hAnsi="宋体"/>
          <w:sz w:val="21"/>
          <w:szCs w:val="21"/>
          <w:lang w:val="en-US"/>
        </w:rPr>
      </w:pPr>
      <w:r>
        <w:rPr>
          <w:rFonts w:hint="eastAsia" w:ascii="宋体" w:hAnsi="宋体"/>
          <w:sz w:val="21"/>
          <w:szCs w:val="21"/>
          <w:lang w:val="en-US"/>
        </w:rPr>
        <w:t>乙方保证甲方使用合同设备不会引起第三方的侵权之诉。如果甲方因使用合同设备而被诉称非法使用或侵害任何专有技术和/或专利和/或其他知识产权，甲方应通知乙方，乙方应以甲方名义并在甲方的协助下自费处理与第三方的诉讼事务，乙方应弥补甲方由此遭受的任何费用、赔偿或损失。</w:t>
      </w:r>
    </w:p>
    <w:p>
      <w:pPr>
        <w:numPr>
          <w:ilvl w:val="0"/>
          <w:numId w:val="17"/>
        </w:numPr>
        <w:spacing w:line="360" w:lineRule="auto"/>
        <w:rPr>
          <w:rFonts w:ascii="宋体" w:hAnsi="宋体"/>
          <w:sz w:val="21"/>
          <w:szCs w:val="21"/>
          <w:lang w:val="en-US"/>
        </w:rPr>
      </w:pPr>
      <w:r>
        <w:rPr>
          <w:rFonts w:hint="eastAsia" w:ascii="宋体" w:hAnsi="宋体"/>
          <w:sz w:val="21"/>
          <w:szCs w:val="21"/>
          <w:lang w:val="en-US"/>
        </w:rPr>
        <w:t>如发现有产品贴牌违约情况，甲方有权在不退货的情况下，对乙方处以该供货产品价格的100%违约金，并要求乙方在规定时间内补供。如造成工期延误。乙方提供的产品、设备、生产工艺应符合现行节能工艺及技术，禁止提供国家明令淘汰的用能产品、设备、生产工艺。一经发现，违约者负全责，除重新供货外并赔偿甲方损失。</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按甲方批准的施工进度计算考核工期，因乙方原因造成工期延长，除赔偿甲方直接损失外，乙方每逾期1日还应按合同总价的1%向甲方支付违约金，甲方可按本条规定自行在应支付给乙方的任何一期项目款或履约保证金中扣除违约金。如乙方工程进度、人员、机械投入无法满足甲方要求，甲方有权自行或委托第三方实施全部或部分工程，因此所产生的费用，由乙方承担。</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乙方接到甲方开工通知后应在24小时内响应并在规定时间（见甲方书面通知）内到达现场。乙方在24小时内未作响应的（不可抗力因素除外），甲方有权终止合同，并追究乙方违约责任；未在规定时间到达现场的（不可抗力因素除外），按合同总价的3%向甲方支付违约金。</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因乙方项目质量问题影响正常运行或造成人员伤亡和设备损坏的，乙方应根据其过错程度赔偿甲方可预见的损失。项目竣工验收未一次合格通过，竣工结算时甲方可以扣除相应项目总价的5%作为违约金。对不合格的项目，乙方无条件进行修补直至达到符合设计和规范要求为止，并承担由此造成的直接损失。</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甲方认为存在乙方安全措施不到位、或工期可能延误、或施工质量不满足要求等情况的，甲方可向乙方发出书面通知，要求乙方在书面通知规定的时间内改正。乙方在规定的时间内仍不改正的，甲方有权自行或委托第三方实施全部或部分工程，因此所产生的费用，由乙方承担。</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本项目不允许任何项目分包、转包，否则甲方有权单方解除合同，乙方应赔偿甲方损失并按合同总价的3%向甲方支付违约金。合同解除后，乙方有义务组织违法施工方退场，否则乙方应承担由此造成的甲方所有损失。</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乙方人员如违反甲方相关的规章制度、文明生产管理规定，造成甲乙双方任一方人员的人身伤亡、设备损坏、生产安全等事故的由乙方承担全部责任，并赔偿甲方经济损失（包括发电损失等预期可得利益）。</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乙方人员由于非甲方原因（包括但不限于乙方人员过错或过失、不可抗力）造成工伤，由乙方自行承担一切责任及费用；由于甲方原因造成的乙方人员工伤，由甲方负责。</w:t>
      </w:r>
    </w:p>
    <w:p>
      <w:pPr>
        <w:numPr>
          <w:ilvl w:val="0"/>
          <w:numId w:val="17"/>
        </w:numPr>
        <w:spacing w:line="360" w:lineRule="auto"/>
        <w:rPr>
          <w:rFonts w:ascii="宋体" w:hAnsi="宋体"/>
          <w:sz w:val="21"/>
          <w:szCs w:val="21"/>
          <w:lang w:val="en-US"/>
        </w:rPr>
      </w:pPr>
      <w:r>
        <w:rPr>
          <w:rFonts w:hint="eastAsia" w:ascii="宋体" w:hAnsi="宋体"/>
          <w:sz w:val="21"/>
          <w:szCs w:val="21"/>
          <w:lang w:val="en-US"/>
        </w:rPr>
        <w:t>乙方若出现泄露信息机密、技术机密资料，给甲方造成了利益损害，甲方有权追索乙方责任，并由乙方承担对甲方利益造成的全部损失。</w:t>
      </w:r>
    </w:p>
    <w:p>
      <w:pPr>
        <w:numPr>
          <w:ilvl w:val="0"/>
          <w:numId w:val="17"/>
        </w:numPr>
        <w:spacing w:line="360" w:lineRule="auto"/>
        <w:rPr>
          <w:rFonts w:ascii="宋体" w:hAnsi="宋体"/>
          <w:sz w:val="21"/>
          <w:szCs w:val="21"/>
          <w:lang w:val="en-US"/>
        </w:rPr>
      </w:pPr>
      <w:r>
        <w:rPr>
          <w:rFonts w:hint="eastAsia" w:ascii="宋体" w:hAnsi="宋体"/>
          <w:sz w:val="21"/>
          <w:szCs w:val="21"/>
          <w:lang w:val="en-US"/>
        </w:rPr>
        <w:t>施工防腐要求需满足甲方技术协议要求，质保期2年；如在质保期内出现褪色、开裂、锈蚀等情况，乙方需进行免费修复或承担合同总额</w:t>
      </w:r>
      <w:r>
        <w:rPr>
          <w:rFonts w:ascii="宋体" w:hAnsi="宋体"/>
          <w:sz w:val="21"/>
          <w:szCs w:val="21"/>
          <w:lang w:val="en-US"/>
        </w:rPr>
        <w:t>3</w:t>
      </w:r>
      <w:r>
        <w:rPr>
          <w:rFonts w:hint="eastAsia" w:ascii="宋体" w:hAnsi="宋体"/>
          <w:sz w:val="21"/>
          <w:szCs w:val="21"/>
          <w:lang w:val="en-US"/>
        </w:rPr>
        <w:t>%违约金。</w:t>
      </w:r>
    </w:p>
    <w:p>
      <w:pPr>
        <w:numPr>
          <w:ilvl w:val="0"/>
          <w:numId w:val="17"/>
        </w:numPr>
        <w:spacing w:line="360" w:lineRule="auto"/>
        <w:rPr>
          <w:rFonts w:hint="eastAsia" w:ascii="宋体" w:hAnsi="宋体"/>
          <w:sz w:val="21"/>
          <w:szCs w:val="21"/>
          <w:lang w:val="en-US"/>
        </w:rPr>
      </w:pPr>
      <w:r>
        <w:rPr>
          <w:rFonts w:hint="eastAsia" w:ascii="宋体" w:hAnsi="宋体"/>
          <w:sz w:val="21"/>
          <w:szCs w:val="21"/>
          <w:lang w:val="en-US"/>
        </w:rPr>
        <w:t>合同考核条款与技术协议考核条款同一性质的不进行重复考核，考核标准有不同之处按较高者为准。</w:t>
      </w:r>
    </w:p>
    <w:p>
      <w:pPr>
        <w:numPr>
          <w:ilvl w:val="0"/>
          <w:numId w:val="6"/>
        </w:numPr>
        <w:spacing w:before="120" w:beforeLines="50" w:after="120" w:afterLines="50" w:line="360" w:lineRule="auto"/>
        <w:ind w:left="448" w:hanging="448"/>
        <w:outlineLvl w:val="0"/>
        <w:rPr>
          <w:rFonts w:hint="eastAsia" w:ascii="宋体" w:hAnsi="宋体"/>
          <w:b/>
          <w:sz w:val="21"/>
          <w:szCs w:val="21"/>
        </w:rPr>
      </w:pPr>
      <w:bookmarkStart w:id="13" w:name="_Toc106654964"/>
      <w:r>
        <w:rPr>
          <w:rFonts w:hint="eastAsia" w:ascii="宋体" w:hAnsi="宋体"/>
          <w:b/>
          <w:sz w:val="21"/>
          <w:szCs w:val="21"/>
        </w:rPr>
        <w:t>组成合同的文件</w:t>
      </w:r>
      <w:bookmarkEnd w:id="13"/>
    </w:p>
    <w:p>
      <w:pPr>
        <w:spacing w:line="360" w:lineRule="auto"/>
        <w:ind w:left="420"/>
        <w:rPr>
          <w:rFonts w:hint="eastAsia" w:ascii="宋体" w:hAnsi="宋体"/>
          <w:sz w:val="21"/>
          <w:szCs w:val="21"/>
        </w:rPr>
      </w:pPr>
      <w:r>
        <w:rPr>
          <w:rFonts w:hint="eastAsia" w:ascii="宋体" w:hAnsi="宋体"/>
          <w:sz w:val="21"/>
          <w:szCs w:val="21"/>
        </w:rPr>
        <w:t>组成本合同的文件包括：</w:t>
      </w:r>
    </w:p>
    <w:p>
      <w:pPr>
        <w:numPr>
          <w:ilvl w:val="0"/>
          <w:numId w:val="18"/>
        </w:numPr>
        <w:spacing w:line="360" w:lineRule="auto"/>
        <w:rPr>
          <w:rFonts w:hint="eastAsia" w:ascii="宋体" w:hAnsi="宋体"/>
          <w:sz w:val="21"/>
          <w:szCs w:val="21"/>
        </w:rPr>
      </w:pPr>
      <w:bookmarkStart w:id="14" w:name="_Hlk60586320"/>
      <w:r>
        <w:rPr>
          <w:rFonts w:hint="eastAsia" w:ascii="宋体" w:hAnsi="宋体"/>
          <w:sz w:val="21"/>
          <w:szCs w:val="21"/>
        </w:rPr>
        <w:t>合同生效后，双方另外签订的协议或会议纪要</w:t>
      </w:r>
    </w:p>
    <w:p>
      <w:pPr>
        <w:numPr>
          <w:ilvl w:val="0"/>
          <w:numId w:val="18"/>
        </w:numPr>
        <w:spacing w:line="360" w:lineRule="auto"/>
        <w:rPr>
          <w:rFonts w:hint="eastAsia" w:ascii="宋体" w:hAnsi="宋体"/>
          <w:sz w:val="21"/>
          <w:szCs w:val="21"/>
        </w:rPr>
      </w:pPr>
      <w:r>
        <w:rPr>
          <w:rFonts w:hint="eastAsia" w:ascii="宋体" w:hAnsi="宋体"/>
          <w:sz w:val="21"/>
          <w:szCs w:val="21"/>
        </w:rPr>
        <w:t>本合同条款及合同附件</w:t>
      </w:r>
    </w:p>
    <w:bookmarkEnd w:id="14"/>
    <w:p>
      <w:pPr>
        <w:numPr>
          <w:ilvl w:val="0"/>
          <w:numId w:val="18"/>
        </w:numPr>
        <w:spacing w:line="360" w:lineRule="auto"/>
        <w:rPr>
          <w:rFonts w:hint="eastAsia" w:ascii="宋体" w:hAnsi="宋体"/>
          <w:sz w:val="21"/>
          <w:szCs w:val="21"/>
        </w:rPr>
      </w:pPr>
      <w:r>
        <w:rPr>
          <w:rFonts w:hint="eastAsia" w:ascii="宋体" w:hAnsi="宋体"/>
          <w:sz w:val="21"/>
          <w:szCs w:val="21"/>
        </w:rPr>
        <w:t>中标通知书</w:t>
      </w:r>
    </w:p>
    <w:p>
      <w:pPr>
        <w:numPr>
          <w:ilvl w:val="0"/>
          <w:numId w:val="18"/>
        </w:numPr>
        <w:spacing w:line="360" w:lineRule="auto"/>
        <w:rPr>
          <w:rFonts w:hint="eastAsia" w:ascii="宋体" w:hAnsi="宋体"/>
          <w:sz w:val="21"/>
          <w:szCs w:val="21"/>
        </w:rPr>
      </w:pPr>
      <w:r>
        <w:rPr>
          <w:rFonts w:hint="eastAsia" w:ascii="宋体" w:hAnsi="宋体"/>
          <w:sz w:val="21"/>
          <w:szCs w:val="21"/>
        </w:rPr>
        <w:t>招标文件及其附件书</w:t>
      </w:r>
    </w:p>
    <w:p>
      <w:pPr>
        <w:numPr>
          <w:ilvl w:val="0"/>
          <w:numId w:val="18"/>
        </w:numPr>
        <w:spacing w:line="360" w:lineRule="auto"/>
        <w:rPr>
          <w:rFonts w:hint="eastAsia" w:ascii="宋体" w:hAnsi="宋体"/>
          <w:sz w:val="21"/>
          <w:szCs w:val="21"/>
        </w:rPr>
      </w:pPr>
      <w:r>
        <w:rPr>
          <w:rFonts w:hint="eastAsia" w:ascii="宋体" w:hAnsi="宋体"/>
          <w:sz w:val="21"/>
          <w:szCs w:val="21"/>
        </w:rPr>
        <w:t>投标文件及其附件</w:t>
      </w:r>
    </w:p>
    <w:p>
      <w:pPr>
        <w:numPr>
          <w:ilvl w:val="0"/>
          <w:numId w:val="18"/>
        </w:numPr>
        <w:spacing w:line="360" w:lineRule="auto"/>
        <w:rPr>
          <w:rFonts w:hint="eastAsia" w:ascii="宋体" w:hAnsi="宋体"/>
          <w:sz w:val="21"/>
          <w:szCs w:val="21"/>
        </w:rPr>
      </w:pPr>
      <w:r>
        <w:rPr>
          <w:rFonts w:hint="eastAsia" w:ascii="宋体" w:hAnsi="宋体"/>
          <w:sz w:val="21"/>
          <w:szCs w:val="21"/>
        </w:rPr>
        <w:t>标准、规范及有关技术文件</w:t>
      </w:r>
    </w:p>
    <w:p>
      <w:pPr>
        <w:numPr>
          <w:ilvl w:val="0"/>
          <w:numId w:val="18"/>
        </w:numPr>
        <w:spacing w:line="360" w:lineRule="auto"/>
        <w:rPr>
          <w:rFonts w:hint="eastAsia" w:ascii="宋体" w:hAnsi="宋体"/>
          <w:sz w:val="21"/>
          <w:szCs w:val="21"/>
        </w:rPr>
      </w:pPr>
      <w:r>
        <w:rPr>
          <w:rFonts w:hint="eastAsia" w:ascii="宋体" w:hAnsi="宋体"/>
          <w:sz w:val="21"/>
          <w:szCs w:val="21"/>
        </w:rPr>
        <w:t>图纸（如有）</w:t>
      </w:r>
    </w:p>
    <w:p>
      <w:pPr>
        <w:spacing w:line="360" w:lineRule="auto"/>
        <w:ind w:firstLine="420" w:firstLineChars="200"/>
        <w:jc w:val="both"/>
        <w:rPr>
          <w:rFonts w:hint="eastAsia" w:ascii="宋体" w:hAnsi="宋体"/>
          <w:sz w:val="21"/>
          <w:szCs w:val="21"/>
        </w:rPr>
      </w:pPr>
      <w:r>
        <w:rPr>
          <w:rFonts w:hint="eastAsia" w:ascii="宋体" w:hAnsi="宋体"/>
          <w:sz w:val="21"/>
          <w:szCs w:val="21"/>
        </w:rPr>
        <w:t>上述文件互为补充和解释，当这些文件出现多义性或不一致时，由甲方作出解释和校正，并对此向乙方发出指令。除非合同另有规定，在发生分歧时，合同文件应按以上顺序优先解释。考核标准如有不一致地方，按较高者执行。</w:t>
      </w:r>
    </w:p>
    <w:p>
      <w:pPr>
        <w:numPr>
          <w:ilvl w:val="0"/>
          <w:numId w:val="6"/>
        </w:numPr>
        <w:spacing w:before="120" w:beforeLines="50" w:after="120" w:afterLines="50" w:line="360" w:lineRule="auto"/>
        <w:ind w:left="448" w:hanging="448"/>
        <w:outlineLvl w:val="0"/>
        <w:rPr>
          <w:rFonts w:hint="eastAsia" w:ascii="宋体" w:hAnsi="宋体"/>
          <w:b/>
          <w:sz w:val="21"/>
          <w:szCs w:val="21"/>
        </w:rPr>
      </w:pPr>
      <w:bookmarkStart w:id="15" w:name="_Toc106654965"/>
      <w:r>
        <w:rPr>
          <w:rFonts w:hint="eastAsia" w:ascii="宋体" w:hAnsi="宋体"/>
          <w:b/>
          <w:sz w:val="21"/>
          <w:szCs w:val="21"/>
        </w:rPr>
        <w:t>合同的变更与解除</w:t>
      </w:r>
      <w:bookmarkEnd w:id="15"/>
    </w:p>
    <w:p>
      <w:pPr>
        <w:numPr>
          <w:ilvl w:val="0"/>
          <w:numId w:val="19"/>
        </w:numPr>
        <w:spacing w:line="360" w:lineRule="auto"/>
        <w:jc w:val="both"/>
        <w:rPr>
          <w:rFonts w:hint="eastAsia" w:ascii="宋体" w:hAnsi="宋体"/>
          <w:sz w:val="21"/>
          <w:szCs w:val="21"/>
        </w:rPr>
      </w:pPr>
      <w:r>
        <w:rPr>
          <w:rFonts w:hint="eastAsia" w:ascii="宋体" w:hAnsi="宋体"/>
          <w:sz w:val="21"/>
          <w:szCs w:val="21"/>
        </w:rPr>
        <w:t>合同签订后，若遇情势变化需变更或解除合同的，经双方协商一致后可签订变更与解除协议，但在变更与解除合同未达成书面协议前，原合同继续有效。</w:t>
      </w:r>
    </w:p>
    <w:p>
      <w:pPr>
        <w:numPr>
          <w:ilvl w:val="0"/>
          <w:numId w:val="19"/>
        </w:numPr>
        <w:spacing w:line="360" w:lineRule="auto"/>
        <w:jc w:val="both"/>
        <w:rPr>
          <w:rFonts w:ascii="宋体" w:hAnsi="宋体"/>
          <w:sz w:val="21"/>
          <w:szCs w:val="21"/>
        </w:rPr>
      </w:pPr>
      <w:r>
        <w:rPr>
          <w:rFonts w:hint="eastAsia" w:ascii="宋体" w:hAnsi="宋体"/>
          <w:sz w:val="21"/>
          <w:szCs w:val="21"/>
        </w:rPr>
        <w:t>在合同履行过程中，如发现实际履行的内容（如标的的质量、数量）与合同约定不符，甲方有权要求乙方在限定期限内进行整改，若乙方不予整改或整改后仍不符合要求的，甲方有权单方面解除合同，</w:t>
      </w:r>
      <w:r>
        <w:rPr>
          <w:rFonts w:hint="eastAsia" w:ascii="宋体" w:hAnsi="宋体"/>
          <w:sz w:val="21"/>
          <w:szCs w:val="21"/>
          <w:lang w:val="en-US"/>
        </w:rPr>
        <w:t>乙方应向甲方支付合同总价【1</w:t>
      </w:r>
      <w:r>
        <w:rPr>
          <w:rFonts w:ascii="宋体" w:hAnsi="宋体"/>
          <w:sz w:val="21"/>
          <w:szCs w:val="21"/>
          <w:lang w:val="en-US"/>
        </w:rPr>
        <w:t>0%</w:t>
      </w:r>
      <w:r>
        <w:rPr>
          <w:rFonts w:hint="eastAsia" w:ascii="宋体" w:hAnsi="宋体"/>
          <w:sz w:val="21"/>
          <w:szCs w:val="21"/>
          <w:lang w:val="en-US"/>
        </w:rPr>
        <w:t>】违约金，如违约金不能弥补甲方受到的损失，乙方应另行予以赔偿</w:t>
      </w:r>
      <w:r>
        <w:rPr>
          <w:rFonts w:hint="eastAsia" w:ascii="宋体" w:hAnsi="宋体"/>
          <w:sz w:val="21"/>
          <w:szCs w:val="21"/>
        </w:rPr>
        <w:t>。</w:t>
      </w:r>
    </w:p>
    <w:p>
      <w:pPr>
        <w:numPr>
          <w:ilvl w:val="0"/>
          <w:numId w:val="6"/>
        </w:numPr>
        <w:spacing w:before="120" w:beforeLines="50" w:after="120" w:afterLines="50" w:line="360" w:lineRule="auto"/>
        <w:ind w:left="448" w:hanging="448"/>
        <w:outlineLvl w:val="0"/>
        <w:rPr>
          <w:rFonts w:ascii="宋体" w:hAnsi="宋体"/>
          <w:b/>
          <w:sz w:val="21"/>
          <w:szCs w:val="21"/>
        </w:rPr>
      </w:pPr>
      <w:bookmarkStart w:id="16" w:name="_Toc106654966"/>
      <w:r>
        <w:rPr>
          <w:rFonts w:hint="eastAsia" w:ascii="宋体" w:hAnsi="宋体"/>
          <w:b/>
          <w:sz w:val="21"/>
          <w:szCs w:val="21"/>
        </w:rPr>
        <w:t>争议解决的方式</w:t>
      </w:r>
      <w:bookmarkEnd w:id="16"/>
    </w:p>
    <w:p>
      <w:pPr>
        <w:numPr>
          <w:ilvl w:val="0"/>
          <w:numId w:val="20"/>
        </w:numPr>
        <w:spacing w:line="360" w:lineRule="auto"/>
        <w:rPr>
          <w:rFonts w:hint="eastAsia" w:ascii="宋体" w:hAnsi="宋体"/>
          <w:sz w:val="21"/>
          <w:szCs w:val="21"/>
        </w:rPr>
      </w:pPr>
      <w:r>
        <w:rPr>
          <w:rFonts w:hint="eastAsia" w:ascii="宋体" w:hAnsi="宋体"/>
          <w:sz w:val="21"/>
          <w:szCs w:val="21"/>
        </w:rPr>
        <w:t>甲乙双方对合同条款的理解或执行有争议时，首先应由双方协商解决；</w:t>
      </w:r>
      <w:r>
        <w:rPr>
          <w:rFonts w:hint="eastAsia" w:ascii="宋体" w:hAnsi="宋体" w:cs="宋体"/>
          <w:sz w:val="21"/>
          <w:szCs w:val="21"/>
        </w:rPr>
        <w:t>相关诉讼约定在合同签署地梅县区人民法院处理。不论协商情况如何，乙方不得影响合同各项工作正常开展。</w:t>
      </w:r>
    </w:p>
    <w:p>
      <w:pPr>
        <w:numPr>
          <w:ilvl w:val="0"/>
          <w:numId w:val="20"/>
        </w:numPr>
        <w:spacing w:line="360" w:lineRule="auto"/>
        <w:rPr>
          <w:rFonts w:ascii="宋体" w:hAnsi="宋体"/>
          <w:sz w:val="21"/>
          <w:szCs w:val="21"/>
        </w:rPr>
      </w:pPr>
      <w:r>
        <w:rPr>
          <w:rFonts w:hint="eastAsia" w:ascii="宋体" w:hAnsi="宋体"/>
          <w:sz w:val="21"/>
          <w:szCs w:val="21"/>
        </w:rPr>
        <w:t>甲、乙双方对合同条款有争议且争议未解决前，合同其余条款应继续执行，在任何情况下均不能影响甲方安全生产。</w:t>
      </w:r>
    </w:p>
    <w:p>
      <w:pPr>
        <w:numPr>
          <w:ilvl w:val="0"/>
          <w:numId w:val="6"/>
        </w:numPr>
        <w:spacing w:before="120" w:beforeLines="50" w:after="120" w:afterLines="50" w:line="360" w:lineRule="auto"/>
        <w:ind w:left="448" w:hanging="448"/>
        <w:outlineLvl w:val="0"/>
        <w:rPr>
          <w:rFonts w:ascii="宋体" w:hAnsi="宋体"/>
          <w:b/>
          <w:sz w:val="21"/>
          <w:szCs w:val="21"/>
        </w:rPr>
      </w:pPr>
      <w:bookmarkStart w:id="17" w:name="_Toc106654967"/>
      <w:r>
        <w:rPr>
          <w:rFonts w:hint="eastAsia" w:ascii="宋体" w:hAnsi="宋体"/>
          <w:b/>
          <w:sz w:val="21"/>
          <w:szCs w:val="21"/>
        </w:rPr>
        <w:t>其他事项</w:t>
      </w:r>
      <w:bookmarkEnd w:id="17"/>
    </w:p>
    <w:p>
      <w:pPr>
        <w:numPr>
          <w:ilvl w:val="0"/>
          <w:numId w:val="21"/>
        </w:numPr>
        <w:spacing w:line="360" w:lineRule="auto"/>
        <w:rPr>
          <w:rFonts w:hint="eastAsia" w:ascii="宋体" w:hAnsi="宋体"/>
          <w:sz w:val="21"/>
          <w:szCs w:val="21"/>
          <w:lang w:val="en-US"/>
        </w:rPr>
      </w:pPr>
      <w:r>
        <w:rPr>
          <w:rFonts w:hint="eastAsia" w:ascii="宋体" w:hAnsi="宋体"/>
          <w:sz w:val="21"/>
          <w:szCs w:val="21"/>
          <w:lang w:val="en-US"/>
        </w:rPr>
        <w:t>本项目拆除材料、安装剩余材料均为甲方财产，完工后清点交甲方物资部门。</w:t>
      </w:r>
    </w:p>
    <w:p>
      <w:pPr>
        <w:numPr>
          <w:ilvl w:val="0"/>
          <w:numId w:val="21"/>
        </w:numPr>
        <w:spacing w:line="360" w:lineRule="auto"/>
        <w:rPr>
          <w:rFonts w:hint="eastAsia" w:ascii="宋体" w:hAnsi="宋体"/>
          <w:sz w:val="21"/>
          <w:szCs w:val="21"/>
          <w:lang w:val="en-US"/>
        </w:rPr>
      </w:pPr>
      <w:r>
        <w:rPr>
          <w:rFonts w:hint="eastAsia" w:ascii="宋体" w:hAnsi="宋体"/>
          <w:sz w:val="21"/>
          <w:szCs w:val="21"/>
          <w:lang w:val="en-US"/>
        </w:rPr>
        <w:t>本合同自双方法定代表人或授权代表签字并加盖公司公章或合同专用章之日起生效。</w:t>
      </w:r>
    </w:p>
    <w:p>
      <w:pPr>
        <w:numPr>
          <w:ilvl w:val="0"/>
          <w:numId w:val="21"/>
        </w:numPr>
        <w:spacing w:line="360" w:lineRule="auto"/>
        <w:rPr>
          <w:rFonts w:hint="eastAsia" w:ascii="宋体" w:hAnsi="宋体"/>
          <w:sz w:val="21"/>
          <w:szCs w:val="21"/>
          <w:lang w:val="en-US"/>
        </w:rPr>
      </w:pPr>
      <w:r>
        <w:rPr>
          <w:rFonts w:hint="eastAsia" w:ascii="宋体" w:hAnsi="宋体"/>
          <w:sz w:val="21"/>
          <w:szCs w:val="21"/>
          <w:lang w:val="en-US"/>
        </w:rPr>
        <w:t>本合同的签署和履行并不导致甲方和乙方人员之间产生雇佣或任何其他劳动合同关系，若发生上述情况的，乙方应赔偿甲方因此导致的全部损失。</w:t>
      </w:r>
    </w:p>
    <w:p>
      <w:pPr>
        <w:numPr>
          <w:ilvl w:val="0"/>
          <w:numId w:val="21"/>
        </w:numPr>
        <w:spacing w:line="360" w:lineRule="auto"/>
        <w:rPr>
          <w:rFonts w:hint="eastAsia" w:ascii="宋体" w:hAnsi="宋体"/>
          <w:sz w:val="21"/>
          <w:szCs w:val="21"/>
          <w:lang w:val="en-US"/>
        </w:rPr>
      </w:pPr>
      <w:r>
        <w:rPr>
          <w:rFonts w:hint="eastAsia" w:ascii="宋体" w:hAnsi="宋体"/>
          <w:sz w:val="21"/>
          <w:szCs w:val="21"/>
          <w:lang w:val="en-US"/>
        </w:rPr>
        <w:t>本合同一式肆份，甲乙双方各执贰份。</w:t>
      </w:r>
    </w:p>
    <w:p>
      <w:pPr>
        <w:numPr>
          <w:ilvl w:val="0"/>
          <w:numId w:val="21"/>
        </w:numPr>
        <w:spacing w:line="360" w:lineRule="auto"/>
        <w:rPr>
          <w:rFonts w:hint="eastAsia" w:ascii="宋体" w:hAnsi="宋体"/>
          <w:sz w:val="21"/>
          <w:szCs w:val="21"/>
          <w:lang w:val="en-US"/>
        </w:rPr>
      </w:pPr>
      <w:r>
        <w:rPr>
          <w:rFonts w:hint="eastAsia" w:ascii="宋体" w:hAnsi="宋体"/>
          <w:sz w:val="21"/>
          <w:szCs w:val="21"/>
          <w:lang w:val="en-US"/>
        </w:rPr>
        <w:t>未尽事宜，双方协商解决，必要时以补充协议的形式确定。</w:t>
      </w:r>
    </w:p>
    <w:p>
      <w:pPr>
        <w:numPr>
          <w:ilvl w:val="0"/>
          <w:numId w:val="21"/>
        </w:numPr>
        <w:spacing w:line="360" w:lineRule="auto"/>
        <w:rPr>
          <w:rFonts w:ascii="宋体" w:hAnsi="宋体"/>
          <w:sz w:val="21"/>
          <w:szCs w:val="21"/>
          <w:lang w:val="en-US"/>
        </w:rPr>
      </w:pPr>
      <w:r>
        <w:rPr>
          <w:rFonts w:hint="eastAsia" w:ascii="宋体" w:hAnsi="宋体"/>
          <w:sz w:val="21"/>
          <w:szCs w:val="21"/>
          <w:lang w:val="en-US"/>
        </w:rPr>
        <w:t>本项目甲方指定</w:t>
      </w:r>
      <w:r>
        <w:rPr>
          <w:rFonts w:ascii="宋体" w:hAnsi="宋体"/>
          <w:sz w:val="21"/>
          <w:szCs w:val="21"/>
          <w:u w:val="single"/>
          <w:lang w:val="en-US"/>
        </w:rPr>
        <w:t xml:space="preserve">      </w:t>
      </w:r>
      <w:r>
        <w:rPr>
          <w:rFonts w:hint="eastAsia" w:ascii="宋体" w:hAnsi="宋体"/>
          <w:sz w:val="21"/>
          <w:szCs w:val="21"/>
          <w:lang w:val="en-US"/>
        </w:rPr>
        <w:t>为项目联系人，联系电话：</w:t>
      </w:r>
      <w:r>
        <w:rPr>
          <w:rFonts w:ascii="宋体" w:hAnsi="宋体"/>
          <w:sz w:val="21"/>
          <w:szCs w:val="21"/>
          <w:u w:val="single"/>
          <w:lang w:val="en-US"/>
        </w:rPr>
        <w:t xml:space="preserve">       </w:t>
      </w:r>
      <w:r>
        <w:rPr>
          <w:rFonts w:hint="eastAsia" w:ascii="宋体" w:hAnsi="宋体"/>
          <w:sz w:val="21"/>
          <w:szCs w:val="21"/>
          <w:lang w:val="en-US"/>
        </w:rPr>
        <w:t>；乙方指定</w:t>
      </w:r>
      <w:r>
        <w:rPr>
          <w:rFonts w:ascii="宋体" w:hAnsi="宋体"/>
          <w:sz w:val="21"/>
          <w:szCs w:val="21"/>
          <w:u w:val="single"/>
          <w:lang w:val="en-US"/>
        </w:rPr>
        <w:t xml:space="preserve">     </w:t>
      </w:r>
      <w:r>
        <w:rPr>
          <w:rFonts w:hint="eastAsia" w:ascii="宋体" w:hAnsi="宋体"/>
          <w:sz w:val="21"/>
          <w:szCs w:val="21"/>
          <w:lang w:val="en-US"/>
        </w:rPr>
        <w:t>为项目联系人，联系电话：</w:t>
      </w:r>
      <w:r>
        <w:rPr>
          <w:rFonts w:ascii="宋体" w:hAnsi="宋体"/>
          <w:sz w:val="21"/>
          <w:szCs w:val="21"/>
          <w:u w:val="single"/>
          <w:lang w:val="en-US"/>
        </w:rPr>
        <w:t xml:space="preserve">            </w:t>
      </w:r>
      <w:r>
        <w:rPr>
          <w:rFonts w:hint="eastAsia" w:ascii="宋体" w:hAnsi="宋体"/>
          <w:sz w:val="21"/>
          <w:szCs w:val="21"/>
          <w:lang w:val="en-US"/>
        </w:rPr>
        <w:t>。合同一方变更项目联系人的，应当及时以书面形式通知另一方，未经甲方同意，不得更换。如乙方违约，甲方有权按5万元/次扣除合同款。</w:t>
      </w:r>
    </w:p>
    <w:p>
      <w:pPr>
        <w:numPr>
          <w:ilvl w:val="0"/>
          <w:numId w:val="21"/>
        </w:numPr>
        <w:spacing w:line="360" w:lineRule="auto"/>
        <w:rPr>
          <w:rFonts w:hint="eastAsia" w:ascii="宋体" w:hAnsi="宋体"/>
          <w:sz w:val="21"/>
          <w:szCs w:val="21"/>
          <w:lang w:val="en-US"/>
        </w:rPr>
      </w:pPr>
      <w:r>
        <w:rPr>
          <w:rFonts w:hint="eastAsia" w:ascii="宋体" w:hAnsi="宋体"/>
          <w:sz w:val="21"/>
          <w:szCs w:val="21"/>
          <w:lang w:val="en-US"/>
        </w:rPr>
        <w:t>甲乙双方应确保本合同所示联系地址真实有效，保证对方按该地址寄出的邮件均能送达本方，若出现拒收、代收、退回等情形，均视为已送达本方。任何一方更改地址应提前七日以书面形式通知对方，未及时通知或联系方式有误造成的一切后果由过错方承担，由该方承担送达不能的不利后果。双方同意，如因本合同履行产生争议，本合同所示联系地址可作为诉讼（含仲裁）所有程序（包括一审、二审、再审、执行等程序）中相关法律文书的有效送达地址，按该地址送达即视为有效送达。</w:t>
      </w:r>
    </w:p>
    <w:p>
      <w:pPr>
        <w:numPr>
          <w:ilvl w:val="0"/>
          <w:numId w:val="6"/>
        </w:numPr>
        <w:spacing w:before="120" w:beforeLines="50" w:after="120" w:afterLines="50" w:line="360" w:lineRule="auto"/>
        <w:ind w:left="448" w:hanging="448"/>
        <w:outlineLvl w:val="0"/>
        <w:rPr>
          <w:rFonts w:hint="eastAsia" w:ascii="宋体" w:hAnsi="宋体"/>
          <w:b/>
          <w:sz w:val="21"/>
          <w:szCs w:val="21"/>
        </w:rPr>
      </w:pPr>
      <w:bookmarkStart w:id="18" w:name="_Toc106654968"/>
      <w:r>
        <w:rPr>
          <w:rFonts w:hint="eastAsia" w:ascii="宋体" w:hAnsi="宋体"/>
          <w:b/>
          <w:sz w:val="21"/>
          <w:szCs w:val="21"/>
        </w:rPr>
        <w:t>附件</w:t>
      </w:r>
      <w:bookmarkEnd w:id="18"/>
    </w:p>
    <w:p>
      <w:pPr>
        <w:pStyle w:val="43"/>
        <w:spacing w:line="360" w:lineRule="auto"/>
        <w:rPr>
          <w:rFonts w:hint="eastAsia" w:ascii="宋体" w:hAnsi="宋体"/>
          <w:szCs w:val="21"/>
        </w:rPr>
      </w:pPr>
      <w:r>
        <w:rPr>
          <w:rFonts w:hint="eastAsia" w:ascii="宋体" w:hAnsi="宋体"/>
          <w:szCs w:val="21"/>
        </w:rPr>
        <w:t>以下附件是本合同不可分割的部分，享有与本合同同等法律效力：</w:t>
      </w:r>
    </w:p>
    <w:p>
      <w:pPr>
        <w:pStyle w:val="43"/>
        <w:spacing w:line="360" w:lineRule="auto"/>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：【分项报价】</w:t>
      </w:r>
    </w:p>
    <w:p>
      <w:pPr>
        <w:pStyle w:val="43"/>
        <w:spacing w:line="360" w:lineRule="auto"/>
        <w:rPr>
          <w:rFonts w:hint="eastAsia"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：【技术协议】</w:t>
      </w:r>
    </w:p>
    <w:p>
      <w:pPr>
        <w:pStyle w:val="43"/>
        <w:spacing w:line="360" w:lineRule="auto"/>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：【安健环管理协议书】</w:t>
      </w:r>
    </w:p>
    <w:p>
      <w:pPr>
        <w:pStyle w:val="43"/>
        <w:spacing w:line="360" w:lineRule="auto"/>
        <w:ind w:firstLine="422"/>
        <w:rPr>
          <w:rFonts w:hint="eastAsia" w:ascii="宋体" w:hAnsi="宋体"/>
          <w:b/>
          <w:bCs/>
          <w:szCs w:val="21"/>
        </w:rPr>
      </w:pPr>
      <w:r>
        <w:rPr>
          <w:rFonts w:hint="eastAsia" w:ascii="宋体" w:hAnsi="宋体"/>
          <w:b/>
          <w:bCs/>
          <w:szCs w:val="21"/>
        </w:rPr>
        <w:t>（以下无正文）</w:t>
      </w:r>
    </w:p>
    <w:p>
      <w:pPr>
        <w:pStyle w:val="43"/>
        <w:spacing w:line="360" w:lineRule="auto"/>
        <w:ind w:firstLine="0" w:firstLineChars="0"/>
        <w:rPr>
          <w:rFonts w:ascii="宋体" w:hAnsi="宋体"/>
          <w:b/>
          <w:szCs w:val="21"/>
        </w:rPr>
      </w:pPr>
      <w:r>
        <w:rPr>
          <w:rFonts w:ascii="宋体" w:hAnsi="宋体"/>
          <w:b/>
          <w:szCs w:val="21"/>
        </w:rPr>
        <w:br w:type="page"/>
      </w:r>
      <w:r>
        <w:rPr>
          <w:rFonts w:hint="eastAsia" w:ascii="宋体" w:hAnsi="宋体"/>
          <w:b/>
          <w:szCs w:val="21"/>
        </w:rPr>
        <w:t>（本页为合同签署页）</w:t>
      </w:r>
    </w:p>
    <w:p>
      <w:pPr>
        <w:pStyle w:val="43"/>
        <w:spacing w:line="360" w:lineRule="auto"/>
        <w:ind w:firstLine="0" w:firstLineChars="0"/>
        <w:rPr>
          <w:rFonts w:ascii="宋体" w:hAnsi="宋体"/>
          <w:b/>
          <w:szCs w:val="21"/>
        </w:rPr>
      </w:pPr>
    </w:p>
    <w:p>
      <w:pPr>
        <w:pStyle w:val="43"/>
        <w:spacing w:line="360" w:lineRule="auto"/>
        <w:ind w:firstLine="0" w:firstLineChars="0"/>
        <w:rPr>
          <w:rFonts w:ascii="宋体" w:hAnsi="宋体"/>
          <w:b/>
          <w:szCs w:val="21"/>
        </w:rPr>
      </w:pPr>
    </w:p>
    <w:p>
      <w:pPr>
        <w:pStyle w:val="43"/>
        <w:spacing w:line="360" w:lineRule="auto"/>
        <w:ind w:firstLine="0" w:firstLineChars="0"/>
        <w:rPr>
          <w:rFonts w:ascii="宋体" w:hAnsi="宋体"/>
          <w:b/>
          <w:szCs w:val="21"/>
        </w:rPr>
      </w:pPr>
    </w:p>
    <w:p>
      <w:pPr>
        <w:pStyle w:val="43"/>
        <w:spacing w:line="360" w:lineRule="auto"/>
        <w:ind w:firstLine="0" w:firstLineChars="0"/>
        <w:rPr>
          <w:rFonts w:hint="eastAsia" w:ascii="宋体" w:hAnsi="宋体"/>
          <w:b/>
          <w:szCs w:val="21"/>
        </w:rPr>
      </w:pPr>
    </w:p>
    <w:tbl>
      <w:tblPr>
        <w:tblStyle w:val="27"/>
        <w:tblW w:w="8990" w:type="dxa"/>
        <w:tblInd w:w="0" w:type="dxa"/>
        <w:tblLayout w:type="autofit"/>
        <w:tblCellMar>
          <w:top w:w="0" w:type="dxa"/>
          <w:left w:w="108" w:type="dxa"/>
          <w:bottom w:w="0" w:type="dxa"/>
          <w:right w:w="108" w:type="dxa"/>
        </w:tblCellMar>
      </w:tblPr>
      <w:tblGrid>
        <w:gridCol w:w="4278"/>
        <w:gridCol w:w="4712"/>
      </w:tblGrid>
      <w:tr>
        <w:tblPrEx>
          <w:tblCellMar>
            <w:top w:w="0" w:type="dxa"/>
            <w:left w:w="108" w:type="dxa"/>
            <w:bottom w:w="0" w:type="dxa"/>
            <w:right w:w="108" w:type="dxa"/>
          </w:tblCellMar>
        </w:tblPrEx>
        <w:trPr>
          <w:trHeight w:val="427" w:hRule="atLeast"/>
        </w:trPr>
        <w:tc>
          <w:tcPr>
            <w:tcW w:w="0" w:type="auto"/>
            <w:shd w:val="clear" w:color="auto" w:fill="auto"/>
            <w:noWrap w:val="0"/>
            <w:vAlign w:val="top"/>
          </w:tcPr>
          <w:p>
            <w:pPr>
              <w:spacing w:line="312" w:lineRule="auto"/>
              <w:rPr>
                <w:rFonts w:ascii="宋体" w:hAnsi="宋体"/>
                <w:b/>
                <w:sz w:val="21"/>
                <w:szCs w:val="21"/>
              </w:rPr>
            </w:pPr>
            <w:r>
              <w:rPr>
                <w:rFonts w:hint="eastAsia" w:ascii="宋体" w:hAnsi="宋体"/>
                <w:b/>
                <w:bCs/>
                <w:sz w:val="21"/>
                <w:szCs w:val="21"/>
              </w:rPr>
              <w:t>甲方</w:t>
            </w:r>
          </w:p>
        </w:tc>
        <w:tc>
          <w:tcPr>
            <w:tcW w:w="4633" w:type="dxa"/>
            <w:shd w:val="clear" w:color="auto" w:fill="auto"/>
            <w:noWrap w:val="0"/>
            <w:vAlign w:val="top"/>
          </w:tcPr>
          <w:p>
            <w:pPr>
              <w:spacing w:line="312" w:lineRule="auto"/>
              <w:rPr>
                <w:rFonts w:ascii="宋体" w:hAnsi="宋体"/>
                <w:b/>
                <w:bCs/>
                <w:sz w:val="21"/>
                <w:szCs w:val="21"/>
              </w:rPr>
            </w:pPr>
            <w:r>
              <w:rPr>
                <w:rFonts w:hint="eastAsia" w:ascii="宋体" w:hAnsi="宋体"/>
                <w:b/>
                <w:bCs/>
                <w:sz w:val="21"/>
                <w:szCs w:val="21"/>
              </w:rPr>
              <w:t xml:space="preserve">乙方 </w:t>
            </w:r>
          </w:p>
        </w:tc>
      </w:tr>
      <w:tr>
        <w:tblPrEx>
          <w:tblCellMar>
            <w:top w:w="0" w:type="dxa"/>
            <w:left w:w="108" w:type="dxa"/>
            <w:bottom w:w="0" w:type="dxa"/>
            <w:right w:w="108" w:type="dxa"/>
          </w:tblCellMar>
        </w:tblPrEx>
        <w:trPr>
          <w:trHeight w:val="439" w:hRule="atLeast"/>
        </w:trPr>
        <w:tc>
          <w:tcPr>
            <w:tcW w:w="0" w:type="auto"/>
            <w:shd w:val="clear" w:color="auto" w:fill="auto"/>
            <w:noWrap w:val="0"/>
            <w:vAlign w:val="top"/>
          </w:tcPr>
          <w:p>
            <w:pPr>
              <w:pStyle w:val="16"/>
              <w:spacing w:line="360" w:lineRule="auto"/>
              <w:jc w:val="left"/>
              <w:rPr>
                <w:rFonts w:hAnsi="宋体" w:cs="Times New Roman"/>
              </w:rPr>
            </w:pPr>
            <w:r>
              <w:rPr>
                <w:rFonts w:hAnsi="宋体" w:cs="Times New Roman"/>
              </w:rPr>
              <w:t>单位：</w:t>
            </w:r>
            <w:r>
              <w:rPr>
                <w:rFonts w:hint="eastAsia" w:hAnsi="宋体" w:cs="Times New Roman"/>
              </w:rPr>
              <w:t>陆丰宝丽华新能源电力有限公司</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单位：</w:t>
            </w:r>
          </w:p>
        </w:tc>
      </w:tr>
      <w:tr>
        <w:tblPrEx>
          <w:tblCellMar>
            <w:top w:w="0" w:type="dxa"/>
            <w:left w:w="108" w:type="dxa"/>
            <w:bottom w:w="0" w:type="dxa"/>
            <w:right w:w="108" w:type="dxa"/>
          </w:tblCellMar>
        </w:tblPrEx>
        <w:trPr>
          <w:trHeight w:val="427" w:hRule="atLeast"/>
        </w:trPr>
        <w:tc>
          <w:tcPr>
            <w:tcW w:w="0" w:type="auto"/>
            <w:shd w:val="clear" w:color="auto" w:fill="auto"/>
            <w:noWrap w:val="0"/>
            <w:vAlign w:val="top"/>
          </w:tcPr>
          <w:p>
            <w:pPr>
              <w:pStyle w:val="16"/>
              <w:spacing w:line="360" w:lineRule="auto"/>
              <w:ind w:left="630" w:hanging="630" w:hangingChars="300"/>
              <w:jc w:val="left"/>
              <w:rPr>
                <w:rFonts w:hAnsi="宋体" w:cs="Times New Roman"/>
              </w:rPr>
            </w:pPr>
            <w:r>
              <w:rPr>
                <w:rFonts w:hAnsi="宋体" w:cs="Times New Roman"/>
              </w:rPr>
              <w:t>地址：</w:t>
            </w:r>
            <w:r>
              <w:rPr>
                <w:rFonts w:hint="eastAsia" w:hAnsi="宋体" w:cs="Times New Roman"/>
              </w:rPr>
              <w:t xml:space="preserve">广东省陆丰市湖东镇甲湖湾能源基地     </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地址：</w:t>
            </w:r>
          </w:p>
        </w:tc>
      </w:tr>
      <w:tr>
        <w:tblPrEx>
          <w:tblCellMar>
            <w:top w:w="0" w:type="dxa"/>
            <w:left w:w="108" w:type="dxa"/>
            <w:bottom w:w="0" w:type="dxa"/>
            <w:right w:w="108" w:type="dxa"/>
          </w:tblCellMar>
        </w:tblPrEx>
        <w:trPr>
          <w:trHeight w:val="427" w:hRule="atLeast"/>
        </w:trPr>
        <w:tc>
          <w:tcPr>
            <w:tcW w:w="0" w:type="auto"/>
            <w:shd w:val="clear" w:color="auto" w:fill="auto"/>
            <w:noWrap w:val="0"/>
            <w:vAlign w:val="top"/>
          </w:tcPr>
          <w:p>
            <w:pPr>
              <w:pStyle w:val="16"/>
              <w:spacing w:line="360" w:lineRule="auto"/>
              <w:jc w:val="left"/>
              <w:rPr>
                <w:rFonts w:hAnsi="宋体" w:cs="宋体"/>
              </w:rPr>
            </w:pPr>
            <w:r>
              <w:rPr>
                <w:rFonts w:hint="eastAsia" w:hAnsi="宋体" w:cs="Times New Roman"/>
              </w:rPr>
              <w:t>邮编：</w:t>
            </w:r>
            <w:r>
              <w:rPr>
                <w:rFonts w:hint="eastAsia" w:hAnsi="宋体" w:cs="宋体"/>
              </w:rPr>
              <w:t>516543</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邮编：</w:t>
            </w:r>
          </w:p>
        </w:tc>
      </w:tr>
      <w:tr>
        <w:tblPrEx>
          <w:tblCellMar>
            <w:top w:w="0" w:type="dxa"/>
            <w:left w:w="108" w:type="dxa"/>
            <w:bottom w:w="0" w:type="dxa"/>
            <w:right w:w="108" w:type="dxa"/>
          </w:tblCellMar>
        </w:tblPrEx>
        <w:trPr>
          <w:trHeight w:val="439" w:hRule="atLeast"/>
        </w:trPr>
        <w:tc>
          <w:tcPr>
            <w:tcW w:w="0" w:type="auto"/>
            <w:shd w:val="clear" w:color="auto" w:fill="auto"/>
            <w:noWrap w:val="0"/>
            <w:vAlign w:val="top"/>
          </w:tcPr>
          <w:p>
            <w:pPr>
              <w:pStyle w:val="16"/>
              <w:spacing w:line="360" w:lineRule="auto"/>
              <w:jc w:val="left"/>
              <w:rPr>
                <w:rFonts w:hAnsi="宋体" w:cs="宋体"/>
              </w:rPr>
            </w:pPr>
            <w:r>
              <w:rPr>
                <w:rFonts w:hint="eastAsia" w:hAnsi="宋体" w:cs="宋体"/>
              </w:rPr>
              <w:t xml:space="preserve">电话：0660-8115288                             </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电话：</w:t>
            </w:r>
          </w:p>
        </w:tc>
      </w:tr>
      <w:tr>
        <w:tblPrEx>
          <w:tblCellMar>
            <w:top w:w="0" w:type="dxa"/>
            <w:left w:w="108" w:type="dxa"/>
            <w:bottom w:w="0" w:type="dxa"/>
            <w:right w:w="108" w:type="dxa"/>
          </w:tblCellMar>
        </w:tblPrEx>
        <w:trPr>
          <w:trHeight w:val="427" w:hRule="atLeast"/>
        </w:trPr>
        <w:tc>
          <w:tcPr>
            <w:tcW w:w="0" w:type="auto"/>
            <w:shd w:val="clear" w:color="auto" w:fill="auto"/>
            <w:noWrap w:val="0"/>
            <w:vAlign w:val="top"/>
          </w:tcPr>
          <w:p>
            <w:pPr>
              <w:pStyle w:val="16"/>
              <w:spacing w:line="360" w:lineRule="auto"/>
              <w:jc w:val="left"/>
              <w:rPr>
                <w:rFonts w:hAnsi="宋体" w:cs="宋体"/>
              </w:rPr>
            </w:pPr>
            <w:r>
              <w:rPr>
                <w:rFonts w:hint="eastAsia" w:hAnsi="宋体" w:cs="宋体"/>
              </w:rPr>
              <w:t>传真：0660-8115777</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传真：</w:t>
            </w:r>
          </w:p>
        </w:tc>
      </w:tr>
      <w:tr>
        <w:tblPrEx>
          <w:tblCellMar>
            <w:top w:w="0" w:type="dxa"/>
            <w:left w:w="108" w:type="dxa"/>
            <w:bottom w:w="0" w:type="dxa"/>
            <w:right w:w="108" w:type="dxa"/>
          </w:tblCellMar>
        </w:tblPrEx>
        <w:trPr>
          <w:trHeight w:val="439" w:hRule="atLeast"/>
        </w:trPr>
        <w:tc>
          <w:tcPr>
            <w:tcW w:w="0" w:type="auto"/>
            <w:shd w:val="clear" w:color="auto" w:fill="auto"/>
            <w:noWrap w:val="0"/>
            <w:vAlign w:val="top"/>
          </w:tcPr>
          <w:p>
            <w:pPr>
              <w:pStyle w:val="16"/>
              <w:spacing w:line="360" w:lineRule="auto"/>
              <w:jc w:val="left"/>
              <w:rPr>
                <w:rFonts w:hAnsi="宋体" w:cs="宋体"/>
              </w:rPr>
            </w:pPr>
            <w:r>
              <w:rPr>
                <w:rFonts w:hint="eastAsia" w:hAnsi="宋体" w:cs="宋体"/>
              </w:rPr>
              <w:t>开户行：</w:t>
            </w:r>
            <w:r>
              <w:rPr>
                <w:rFonts w:hint="eastAsia" w:hAnsi="宋体" w:cs="Times New Roman"/>
              </w:rPr>
              <w:t>中国农业银行陆丰市支行</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开户行：</w:t>
            </w:r>
          </w:p>
        </w:tc>
      </w:tr>
      <w:tr>
        <w:tblPrEx>
          <w:tblCellMar>
            <w:top w:w="0" w:type="dxa"/>
            <w:left w:w="108" w:type="dxa"/>
            <w:bottom w:w="0" w:type="dxa"/>
            <w:right w:w="108" w:type="dxa"/>
          </w:tblCellMar>
        </w:tblPrEx>
        <w:trPr>
          <w:trHeight w:val="427" w:hRule="atLeast"/>
        </w:trPr>
        <w:tc>
          <w:tcPr>
            <w:tcW w:w="0" w:type="auto"/>
            <w:shd w:val="clear" w:color="auto" w:fill="auto"/>
            <w:noWrap w:val="0"/>
            <w:vAlign w:val="top"/>
          </w:tcPr>
          <w:p>
            <w:pPr>
              <w:pStyle w:val="16"/>
              <w:spacing w:line="360" w:lineRule="auto"/>
              <w:jc w:val="left"/>
              <w:rPr>
                <w:rFonts w:hAnsi="宋体" w:cs="宋体"/>
              </w:rPr>
            </w:pPr>
            <w:r>
              <w:rPr>
                <w:rFonts w:hint="eastAsia" w:hAnsi="宋体" w:cs="宋体"/>
              </w:rPr>
              <w:t>帐号：</w:t>
            </w:r>
            <w:r>
              <w:rPr>
                <w:rFonts w:hint="eastAsia" w:hAnsi="宋体" w:cs="Times New Roman"/>
              </w:rPr>
              <w:t>44-260001040014550</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帐号：</w:t>
            </w:r>
          </w:p>
        </w:tc>
      </w:tr>
      <w:tr>
        <w:tblPrEx>
          <w:tblCellMar>
            <w:top w:w="0" w:type="dxa"/>
            <w:left w:w="108" w:type="dxa"/>
            <w:bottom w:w="0" w:type="dxa"/>
            <w:right w:w="108" w:type="dxa"/>
          </w:tblCellMar>
        </w:tblPrEx>
        <w:trPr>
          <w:trHeight w:val="427" w:hRule="atLeast"/>
        </w:trPr>
        <w:tc>
          <w:tcPr>
            <w:tcW w:w="0" w:type="auto"/>
            <w:shd w:val="clear" w:color="auto" w:fill="auto"/>
            <w:noWrap w:val="0"/>
            <w:vAlign w:val="top"/>
          </w:tcPr>
          <w:p>
            <w:pPr>
              <w:pStyle w:val="16"/>
              <w:spacing w:line="360" w:lineRule="auto"/>
              <w:jc w:val="left"/>
              <w:rPr>
                <w:rFonts w:hAnsi="宋体" w:cs="Times New Roman"/>
              </w:rPr>
            </w:pPr>
            <w:r>
              <w:rPr>
                <w:rFonts w:hint="eastAsia" w:hAnsi="宋体" w:cs="宋体"/>
              </w:rPr>
              <w:t>税号：</w:t>
            </w:r>
            <w:r>
              <w:rPr>
                <w:rFonts w:hint="eastAsia" w:hAnsi="宋体" w:cs="Times New Roman"/>
              </w:rPr>
              <w:t>91441581661527969A</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税号：</w:t>
            </w:r>
          </w:p>
        </w:tc>
      </w:tr>
      <w:tr>
        <w:tblPrEx>
          <w:tblCellMar>
            <w:top w:w="0" w:type="dxa"/>
            <w:left w:w="108" w:type="dxa"/>
            <w:bottom w:w="0" w:type="dxa"/>
            <w:right w:w="108" w:type="dxa"/>
          </w:tblCellMar>
        </w:tblPrEx>
        <w:trPr>
          <w:trHeight w:val="877" w:hRule="atLeast"/>
        </w:trPr>
        <w:tc>
          <w:tcPr>
            <w:tcW w:w="0" w:type="auto"/>
            <w:shd w:val="clear" w:color="auto" w:fill="auto"/>
            <w:noWrap w:val="0"/>
            <w:vAlign w:val="top"/>
          </w:tcPr>
          <w:p>
            <w:pPr>
              <w:pStyle w:val="16"/>
              <w:spacing w:line="360" w:lineRule="auto"/>
              <w:jc w:val="left"/>
              <w:rPr>
                <w:rFonts w:hint="eastAsia" w:hAnsi="宋体" w:cs="Times New Roman"/>
              </w:rPr>
            </w:pPr>
            <w:r>
              <w:rPr>
                <w:rFonts w:hint="eastAsia" w:hAnsi="宋体"/>
              </w:rPr>
              <w:t>法定代表人或授权人签名：</w:t>
            </w:r>
          </w:p>
        </w:tc>
        <w:tc>
          <w:tcPr>
            <w:tcW w:w="4633" w:type="dxa"/>
            <w:shd w:val="clear" w:color="auto" w:fill="auto"/>
            <w:noWrap w:val="0"/>
            <w:vAlign w:val="top"/>
          </w:tcPr>
          <w:p>
            <w:pPr>
              <w:rPr>
                <w:rFonts w:hint="eastAsia" w:ascii="宋体" w:hAnsi="宋体"/>
                <w:sz w:val="21"/>
                <w:szCs w:val="21"/>
              </w:rPr>
            </w:pPr>
            <w:r>
              <w:rPr>
                <w:rFonts w:hint="eastAsia" w:ascii="宋体" w:hAnsi="宋体"/>
                <w:sz w:val="21"/>
                <w:szCs w:val="21"/>
              </w:rPr>
              <w:t>法定代表人或授权人签名：</w:t>
            </w:r>
          </w:p>
        </w:tc>
      </w:tr>
      <w:tr>
        <w:tblPrEx>
          <w:tblCellMar>
            <w:top w:w="0" w:type="dxa"/>
            <w:left w:w="108" w:type="dxa"/>
            <w:bottom w:w="0" w:type="dxa"/>
            <w:right w:w="108" w:type="dxa"/>
          </w:tblCellMar>
        </w:tblPrEx>
        <w:trPr>
          <w:trHeight w:val="439" w:hRule="atLeast"/>
        </w:trPr>
        <w:tc>
          <w:tcPr>
            <w:tcW w:w="0" w:type="auto"/>
            <w:shd w:val="clear" w:color="auto" w:fill="auto"/>
            <w:noWrap w:val="0"/>
            <w:vAlign w:val="top"/>
          </w:tcPr>
          <w:p>
            <w:pPr>
              <w:spacing w:line="480" w:lineRule="auto"/>
              <w:rPr>
                <w:rFonts w:hint="eastAsia" w:ascii="宋体" w:hAnsi="宋体"/>
                <w:sz w:val="21"/>
                <w:szCs w:val="21"/>
              </w:rPr>
            </w:pPr>
            <w:r>
              <w:rPr>
                <w:rFonts w:hint="eastAsia" w:ascii="宋体" w:hAnsi="宋体"/>
                <w:kern w:val="0"/>
                <w:sz w:val="21"/>
                <w:szCs w:val="21"/>
              </w:rPr>
              <w:t>签订日期：</w:t>
            </w:r>
          </w:p>
        </w:tc>
        <w:tc>
          <w:tcPr>
            <w:tcW w:w="4633" w:type="dxa"/>
            <w:shd w:val="clear" w:color="auto" w:fill="auto"/>
            <w:noWrap w:val="0"/>
            <w:vAlign w:val="top"/>
          </w:tcPr>
          <w:p>
            <w:pPr>
              <w:rPr>
                <w:rFonts w:ascii="宋体" w:hAnsi="宋体"/>
                <w:sz w:val="21"/>
                <w:szCs w:val="21"/>
              </w:rPr>
            </w:pPr>
            <w:r>
              <w:rPr>
                <w:rFonts w:hint="eastAsia" w:ascii="宋体" w:hAnsi="宋体"/>
                <w:sz w:val="21"/>
                <w:szCs w:val="21"/>
              </w:rPr>
              <w:t>签订日期：</w:t>
            </w:r>
          </w:p>
        </w:tc>
      </w:tr>
      <w:tr>
        <w:tblPrEx>
          <w:tblCellMar>
            <w:top w:w="0" w:type="dxa"/>
            <w:left w:w="108" w:type="dxa"/>
            <w:bottom w:w="0" w:type="dxa"/>
            <w:right w:w="108" w:type="dxa"/>
          </w:tblCellMar>
        </w:tblPrEx>
        <w:trPr>
          <w:trHeight w:val="439" w:hRule="atLeast"/>
        </w:trPr>
        <w:tc>
          <w:tcPr>
            <w:tcW w:w="0" w:type="auto"/>
            <w:shd w:val="clear" w:color="auto" w:fill="auto"/>
            <w:noWrap w:val="0"/>
            <w:vAlign w:val="top"/>
          </w:tcPr>
          <w:p>
            <w:pPr>
              <w:spacing w:line="480" w:lineRule="auto"/>
              <w:rPr>
                <w:rFonts w:hint="eastAsia" w:ascii="宋体" w:hAnsi="宋体"/>
                <w:kern w:val="0"/>
                <w:sz w:val="21"/>
                <w:szCs w:val="21"/>
              </w:rPr>
            </w:pPr>
          </w:p>
        </w:tc>
        <w:tc>
          <w:tcPr>
            <w:tcW w:w="4633" w:type="dxa"/>
            <w:shd w:val="clear" w:color="auto" w:fill="auto"/>
            <w:noWrap w:val="0"/>
            <w:vAlign w:val="top"/>
          </w:tcPr>
          <w:p>
            <w:pPr>
              <w:rPr>
                <w:rFonts w:hint="eastAsia" w:ascii="宋体" w:hAnsi="宋体"/>
                <w:sz w:val="21"/>
                <w:szCs w:val="21"/>
              </w:rPr>
            </w:pPr>
          </w:p>
        </w:tc>
      </w:tr>
      <w:tr>
        <w:tblPrEx>
          <w:tblCellMar>
            <w:top w:w="0" w:type="dxa"/>
            <w:left w:w="108" w:type="dxa"/>
            <w:bottom w:w="0" w:type="dxa"/>
            <w:right w:w="108" w:type="dxa"/>
          </w:tblCellMar>
        </w:tblPrEx>
        <w:trPr>
          <w:trHeight w:val="439" w:hRule="atLeast"/>
        </w:trPr>
        <w:tc>
          <w:tcPr>
            <w:tcW w:w="8990" w:type="dxa"/>
            <w:gridSpan w:val="2"/>
            <w:shd w:val="clear" w:color="auto" w:fill="auto"/>
            <w:noWrap w:val="0"/>
            <w:vAlign w:val="top"/>
          </w:tcPr>
          <w:p>
            <w:pPr>
              <w:jc w:val="center"/>
              <w:rPr>
                <w:rFonts w:hint="eastAsia" w:ascii="宋体" w:hAnsi="宋体"/>
                <w:sz w:val="21"/>
                <w:szCs w:val="21"/>
              </w:rPr>
            </w:pPr>
            <w:r>
              <w:rPr>
                <w:rFonts w:hint="eastAsia" w:ascii="宋体" w:hAnsi="宋体"/>
                <w:sz w:val="21"/>
                <w:szCs w:val="21"/>
              </w:rPr>
              <w:t>合同签订地址：广东省梅州市梅县区</w:t>
            </w:r>
          </w:p>
        </w:tc>
      </w:tr>
    </w:tbl>
    <w:p>
      <w:pPr>
        <w:outlineLvl w:val="0"/>
        <w:rPr>
          <w:rFonts w:hint="eastAsia" w:ascii="宋体" w:hAnsi="宋体"/>
          <w:b/>
          <w:sz w:val="21"/>
          <w:szCs w:val="21"/>
        </w:rPr>
      </w:pPr>
      <w:r>
        <w:rPr>
          <w:rFonts w:hint="eastAsia" w:ascii="宋体" w:hAnsi="宋体"/>
          <w:b/>
          <w:sz w:val="21"/>
          <w:szCs w:val="21"/>
        </w:rPr>
        <w:br w:type="page"/>
      </w:r>
      <w:bookmarkStart w:id="19" w:name="_Toc106654969"/>
      <w:r>
        <w:rPr>
          <w:rFonts w:hint="eastAsia" w:ascii="宋体" w:hAnsi="宋体"/>
          <w:b/>
          <w:sz w:val="21"/>
          <w:szCs w:val="21"/>
        </w:rPr>
        <w:t>附件1：【技术要求】</w:t>
      </w:r>
      <w:bookmarkEnd w:id="19"/>
    </w:p>
    <w:p>
      <w:pPr>
        <w:outlineLvl w:val="0"/>
        <w:rPr>
          <w:rFonts w:ascii="宋体" w:hAnsi="宋体"/>
          <w:sz w:val="21"/>
          <w:szCs w:val="21"/>
        </w:rPr>
      </w:pPr>
      <w:bookmarkStart w:id="20" w:name="_Toc106654970"/>
      <w:r>
        <w:rPr>
          <w:rFonts w:hint="eastAsia" w:ascii="宋体" w:hAnsi="宋体"/>
          <w:b/>
          <w:sz w:val="21"/>
          <w:szCs w:val="21"/>
        </w:rPr>
        <w:t>附件2：【安健环管理协议书】</w:t>
      </w:r>
      <w:bookmarkEnd w:id="20"/>
    </w:p>
    <w:p>
      <w:pPr>
        <w:spacing w:line="360" w:lineRule="auto"/>
        <w:jc w:val="center"/>
      </w:pPr>
    </w:p>
    <w:p>
      <w:pPr>
        <w:pStyle w:val="59"/>
        <w:spacing w:after="40" w:line="240" w:lineRule="auto"/>
        <w:rPr>
          <w:sz w:val="21"/>
          <w:szCs w:val="21"/>
          <w:lang w:eastAsia="zh-CN"/>
        </w:rPr>
      </w:pPr>
      <w:r>
        <w:rPr>
          <w:color w:val="000000"/>
          <w:sz w:val="21"/>
          <w:szCs w:val="21"/>
          <w:lang w:eastAsia="zh-CN"/>
        </w:rPr>
        <w:t>安健环管理协议书</w:t>
      </w:r>
    </w:p>
    <w:p>
      <w:pPr>
        <w:pStyle w:val="61"/>
        <w:spacing w:line="474" w:lineRule="exact"/>
        <w:ind w:firstLine="0"/>
        <w:rPr>
          <w:sz w:val="21"/>
          <w:szCs w:val="21"/>
          <w:lang w:eastAsia="zh-CN"/>
        </w:rPr>
      </w:pPr>
      <w:r>
        <w:rPr>
          <w:sz w:val="21"/>
          <w:szCs w:val="21"/>
          <w:lang w:eastAsia="zh-CN"/>
        </w:rPr>
        <w:t>发包方（甲方）：陆丰宝丽华新能源电力有限公司</w:t>
      </w:r>
    </w:p>
    <w:p>
      <w:pPr>
        <w:pStyle w:val="61"/>
        <w:spacing w:line="474" w:lineRule="exact"/>
        <w:ind w:firstLine="0"/>
        <w:rPr>
          <w:rFonts w:hint="eastAsia" w:eastAsia="PMingLiU"/>
          <w:sz w:val="21"/>
          <w:szCs w:val="21"/>
        </w:rPr>
      </w:pPr>
      <w:r>
        <w:rPr>
          <w:sz w:val="21"/>
          <w:szCs w:val="21"/>
        </w:rPr>
        <w:t>承包方（乙方）：</w:t>
      </w:r>
      <w:r>
        <w:rPr>
          <w:sz w:val="21"/>
          <w:szCs w:val="21"/>
          <w:u w:val="single"/>
        </w:rPr>
        <w:t>XXXXXXXXXXXXXXX有限公司</w:t>
      </w:r>
    </w:p>
    <w:p>
      <w:pPr>
        <w:pStyle w:val="61"/>
        <w:spacing w:line="474" w:lineRule="exact"/>
        <w:ind w:firstLine="500"/>
        <w:rPr>
          <w:sz w:val="21"/>
          <w:szCs w:val="21"/>
          <w:lang w:eastAsia="zh-CN"/>
        </w:rPr>
      </w:pPr>
      <w:r>
        <w:rPr>
          <w:sz w:val="21"/>
          <w:szCs w:val="21"/>
          <w:lang w:eastAsia="zh-CN"/>
        </w:rPr>
        <w:t>为全面落实安全生产管理工作，坚持</w:t>
      </w:r>
      <w:r>
        <w:rPr>
          <w:sz w:val="21"/>
          <w:szCs w:val="21"/>
          <w:lang w:val="zh-CN" w:eastAsia="zh-CN" w:bidi="zh-CN"/>
        </w:rPr>
        <w:t>“安全</w:t>
      </w:r>
      <w:r>
        <w:rPr>
          <w:sz w:val="21"/>
          <w:szCs w:val="21"/>
          <w:lang w:eastAsia="zh-CN"/>
        </w:rPr>
        <w:t>第一，预防为主，综合治理”的方针，根据《中华人民共和国安全生产法》，甲方与乙方结合双方实际情况，经共同协商，就</w:t>
      </w:r>
      <w:r>
        <w:rPr>
          <w:rFonts w:hint="eastAsia"/>
          <w:sz w:val="21"/>
          <w:szCs w:val="21"/>
          <w:u w:val="single"/>
          <w:lang w:eastAsia="zh-CN"/>
        </w:rPr>
        <w:t xml:space="preserve">陆丰甲湖湾电厂 </w:t>
      </w:r>
      <w:r>
        <w:rPr>
          <w:rFonts w:eastAsia="PMingLiU"/>
          <w:sz w:val="21"/>
          <w:szCs w:val="21"/>
          <w:u w:val="single"/>
          <w:lang w:eastAsia="zh-CN"/>
        </w:rPr>
        <w:t xml:space="preserve">           </w:t>
      </w:r>
      <w:r>
        <w:rPr>
          <w:sz w:val="21"/>
          <w:szCs w:val="21"/>
          <w:u w:val="single"/>
          <w:lang w:eastAsia="zh-CN"/>
        </w:rPr>
        <w:t>工程</w:t>
      </w:r>
      <w:r>
        <w:rPr>
          <w:sz w:val="21"/>
          <w:szCs w:val="21"/>
          <w:lang w:eastAsia="zh-CN"/>
        </w:rPr>
        <w:t>施工中的安健环责任，达成如下协议，双方必须共同遵守。</w:t>
      </w:r>
    </w:p>
    <w:p>
      <w:pPr>
        <w:pStyle w:val="61"/>
        <w:spacing w:line="474" w:lineRule="exact"/>
        <w:ind w:firstLine="240"/>
        <w:rPr>
          <w:sz w:val="21"/>
          <w:szCs w:val="21"/>
          <w:lang w:eastAsia="zh-CN"/>
        </w:rPr>
      </w:pPr>
      <w:r>
        <w:rPr>
          <w:sz w:val="21"/>
          <w:szCs w:val="21"/>
          <w:lang w:eastAsia="zh-CN"/>
        </w:rPr>
        <w:t>一、安健环目标</w:t>
      </w:r>
    </w:p>
    <w:p>
      <w:pPr>
        <w:pStyle w:val="61"/>
        <w:tabs>
          <w:tab w:val="left" w:pos="394"/>
        </w:tabs>
        <w:spacing w:line="474" w:lineRule="exact"/>
        <w:ind w:firstLine="0"/>
        <w:rPr>
          <w:sz w:val="21"/>
          <w:szCs w:val="21"/>
          <w:lang w:eastAsia="zh-CN"/>
        </w:rPr>
      </w:pPr>
      <w:bookmarkStart w:id="21" w:name="bookmark739"/>
      <w:r>
        <w:rPr>
          <w:rFonts w:cs="Times New Roman"/>
          <w:sz w:val="21"/>
          <w:szCs w:val="21"/>
          <w:lang w:eastAsia="zh-CN"/>
        </w:rPr>
        <w:t>1</w:t>
      </w:r>
      <w:bookmarkEnd w:id="21"/>
      <w:r>
        <w:rPr>
          <w:sz w:val="21"/>
          <w:szCs w:val="21"/>
          <w:lang w:eastAsia="zh-CN"/>
        </w:rPr>
        <w:t>、</w:t>
      </w:r>
      <w:r>
        <w:rPr>
          <w:sz w:val="21"/>
          <w:szCs w:val="21"/>
          <w:lang w:eastAsia="zh-CN"/>
        </w:rPr>
        <w:tab/>
      </w:r>
      <w:r>
        <w:rPr>
          <w:sz w:val="21"/>
          <w:szCs w:val="21"/>
          <w:lang w:eastAsia="zh-CN"/>
        </w:rPr>
        <w:t>健康</w:t>
      </w:r>
      <w:r>
        <w:rPr>
          <w:sz w:val="21"/>
          <w:szCs w:val="21"/>
          <w:lang w:val="en-US" w:eastAsia="zh-CN" w:bidi="en-US"/>
        </w:rPr>
        <w:t>（</w:t>
      </w:r>
      <w:r>
        <w:rPr>
          <w:rFonts w:cs="Times New Roman"/>
          <w:sz w:val="21"/>
          <w:szCs w:val="21"/>
          <w:lang w:val="en-US" w:eastAsia="zh-CN" w:bidi="en-US"/>
        </w:rPr>
        <w:t>H）</w:t>
      </w:r>
      <w:r>
        <w:rPr>
          <w:sz w:val="21"/>
          <w:szCs w:val="21"/>
          <w:lang w:eastAsia="zh-CN"/>
        </w:rPr>
        <w:t>目标：无疾病流传损害人员健康、不发生新增职业病例、创一流的文明施工现场</w:t>
      </w:r>
      <w:r>
        <w:rPr>
          <w:rFonts w:hint="eastAsia"/>
          <w:sz w:val="21"/>
          <w:szCs w:val="21"/>
          <w:lang w:eastAsia="zh-CN"/>
        </w:rPr>
        <w:t>（</w:t>
      </w:r>
      <w:r>
        <w:rPr>
          <w:sz w:val="21"/>
          <w:szCs w:val="21"/>
          <w:lang w:eastAsia="zh-CN"/>
        </w:rPr>
        <w:t>包括但不限于）：</w:t>
      </w:r>
    </w:p>
    <w:p>
      <w:pPr>
        <w:snapToGrid w:val="0"/>
        <w:spacing w:line="360" w:lineRule="auto"/>
        <w:ind w:firstLine="420" w:firstLineChars="200"/>
        <w:rPr>
          <w:rFonts w:ascii="宋体" w:hAnsi="宋体"/>
          <w:color w:val="0070C0"/>
          <w:sz w:val="21"/>
          <w:szCs w:val="21"/>
        </w:rPr>
      </w:pPr>
      <w:r>
        <w:rPr>
          <w:rFonts w:ascii="宋体" w:hAnsi="宋体"/>
          <w:color w:val="0070C0"/>
          <w:sz w:val="21"/>
          <w:szCs w:val="21"/>
        </w:rPr>
        <w:t>（</w:t>
      </w:r>
      <w:r>
        <w:rPr>
          <w:rFonts w:hint="eastAsia" w:ascii="宋体" w:hAnsi="宋体"/>
          <w:color w:val="0070C0"/>
          <w:sz w:val="21"/>
          <w:szCs w:val="21"/>
        </w:rPr>
        <w:t>1）不发生职业健康、职业危害事故。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w:t>
      </w:r>
      <w:r>
        <w:rPr>
          <w:rFonts w:ascii="宋体" w:hAnsi="宋体"/>
          <w:color w:val="0070C0"/>
          <w:sz w:val="21"/>
          <w:szCs w:val="21"/>
        </w:rPr>
        <w:t>2</w:t>
      </w:r>
      <w:r>
        <w:rPr>
          <w:rFonts w:hint="eastAsia" w:ascii="宋体" w:hAnsi="宋体"/>
          <w:color w:val="0070C0"/>
          <w:sz w:val="21"/>
          <w:szCs w:val="21"/>
        </w:rPr>
        <w:t>）不发生</w:t>
      </w:r>
      <w:r>
        <w:rPr>
          <w:rFonts w:ascii="宋体" w:hAnsi="宋体"/>
          <w:color w:val="0070C0"/>
          <w:sz w:val="21"/>
          <w:szCs w:val="21"/>
        </w:rPr>
        <w:t>10</w:t>
      </w:r>
      <w:r>
        <w:rPr>
          <w:rFonts w:hint="eastAsia" w:ascii="宋体" w:hAnsi="宋体"/>
          <w:color w:val="0070C0"/>
          <w:sz w:val="21"/>
          <w:szCs w:val="21"/>
        </w:rPr>
        <w:t>人以上集体食物中毒和大面积传染病事故。</w:t>
      </w:r>
    </w:p>
    <w:p>
      <w:pPr>
        <w:pStyle w:val="61"/>
        <w:tabs>
          <w:tab w:val="left" w:pos="394"/>
        </w:tabs>
        <w:spacing w:line="474" w:lineRule="exact"/>
        <w:ind w:firstLine="0"/>
        <w:rPr>
          <w:sz w:val="21"/>
          <w:szCs w:val="21"/>
          <w:lang w:eastAsia="zh-CN"/>
        </w:rPr>
      </w:pPr>
      <w:bookmarkStart w:id="22" w:name="bookmark740"/>
      <w:r>
        <w:rPr>
          <w:rFonts w:cs="Times New Roman"/>
          <w:sz w:val="21"/>
          <w:szCs w:val="21"/>
          <w:lang w:eastAsia="zh-CN"/>
        </w:rPr>
        <w:t>2</w:t>
      </w:r>
      <w:bookmarkEnd w:id="22"/>
      <w:r>
        <w:rPr>
          <w:sz w:val="21"/>
          <w:szCs w:val="21"/>
          <w:lang w:eastAsia="zh-CN"/>
        </w:rPr>
        <w:t>、</w:t>
      </w:r>
      <w:r>
        <w:rPr>
          <w:sz w:val="21"/>
          <w:szCs w:val="21"/>
          <w:lang w:eastAsia="zh-CN"/>
        </w:rPr>
        <w:tab/>
      </w:r>
      <w:r>
        <w:rPr>
          <w:sz w:val="21"/>
          <w:szCs w:val="21"/>
          <w:lang w:eastAsia="zh-CN"/>
        </w:rPr>
        <w:t>安全</w:t>
      </w:r>
      <w:r>
        <w:rPr>
          <w:rFonts w:cs="Times New Roman"/>
          <w:sz w:val="21"/>
          <w:szCs w:val="21"/>
          <w:lang w:val="en-US" w:eastAsia="zh-CN" w:bidi="en-US"/>
        </w:rPr>
        <w:t>（S）</w:t>
      </w:r>
      <w:r>
        <w:rPr>
          <w:sz w:val="21"/>
          <w:szCs w:val="21"/>
          <w:lang w:eastAsia="zh-CN"/>
        </w:rPr>
        <w:t>目标：杜绝重大伤亡、火灾、沉船、重大交通责任事故和设备事故的发生</w:t>
      </w:r>
      <w:r>
        <w:rPr>
          <w:rFonts w:hint="eastAsia"/>
          <w:sz w:val="21"/>
          <w:szCs w:val="21"/>
          <w:lang w:eastAsia="zh-CN"/>
        </w:rPr>
        <w:t>（</w:t>
      </w:r>
      <w:r>
        <w:rPr>
          <w:sz w:val="21"/>
          <w:szCs w:val="21"/>
          <w:lang w:eastAsia="zh-CN"/>
        </w:rPr>
        <w:t>包括但不限于）：</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（1）不发生重伤及以上人身事故。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（2）不发生经济损失在</w:t>
      </w:r>
      <w:r>
        <w:rPr>
          <w:rFonts w:ascii="宋体" w:hAnsi="宋体"/>
          <w:color w:val="0070C0"/>
          <w:sz w:val="21"/>
          <w:szCs w:val="21"/>
        </w:rPr>
        <w:t>300</w:t>
      </w:r>
      <w:r>
        <w:rPr>
          <w:rFonts w:hint="eastAsia" w:ascii="宋体" w:hAnsi="宋体"/>
          <w:color w:val="0070C0"/>
          <w:sz w:val="21"/>
          <w:szCs w:val="21"/>
        </w:rPr>
        <w:t>万元及以上的机械及设备损坏事故。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（3）不发生经济损失在</w:t>
      </w:r>
      <w:r>
        <w:rPr>
          <w:rFonts w:ascii="宋体" w:hAnsi="宋体"/>
          <w:color w:val="0070C0"/>
          <w:sz w:val="21"/>
          <w:szCs w:val="21"/>
        </w:rPr>
        <w:t>300</w:t>
      </w:r>
      <w:r>
        <w:rPr>
          <w:rFonts w:hint="eastAsia" w:ascii="宋体" w:hAnsi="宋体"/>
          <w:color w:val="0070C0"/>
          <w:sz w:val="21"/>
          <w:szCs w:val="21"/>
        </w:rPr>
        <w:t>万以上的火灾事故。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（4）不发生负同等责任的一般及以上交通事故。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（5）不发生垮（坍）塌事故。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（6）不发生环境污染事故。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（7）不发生群伤事故，轻伤事故率不超过</w:t>
      </w:r>
      <w:r>
        <w:rPr>
          <w:rFonts w:ascii="宋体" w:hAnsi="宋体"/>
          <w:color w:val="0070C0"/>
          <w:sz w:val="21"/>
          <w:szCs w:val="21"/>
        </w:rPr>
        <w:t>3</w:t>
      </w:r>
      <w:r>
        <w:rPr>
          <w:rFonts w:hint="eastAsia" w:ascii="宋体" w:hAnsi="宋体"/>
          <w:color w:val="0070C0"/>
          <w:sz w:val="21"/>
          <w:szCs w:val="21"/>
        </w:rPr>
        <w:t>‰。</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（8）不发生恶性误操作事故。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（9）不发生爆（破）炸事故（含压力容器）。</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（10）有效控制违章和隐患，各类安全检查发现的问题，整改率达</w:t>
      </w:r>
      <w:r>
        <w:rPr>
          <w:rFonts w:ascii="宋体" w:hAnsi="宋体"/>
          <w:color w:val="0070C0"/>
          <w:sz w:val="21"/>
          <w:szCs w:val="21"/>
        </w:rPr>
        <w:t>100%</w:t>
      </w:r>
      <w:r>
        <w:rPr>
          <w:rFonts w:hint="eastAsia" w:ascii="宋体" w:hAnsi="宋体"/>
          <w:color w:val="0070C0"/>
          <w:sz w:val="21"/>
          <w:szCs w:val="21"/>
        </w:rPr>
        <w:t>。</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（11）不发生严重违法、违纪事件；不发生对甲方舆情稳定和形象造成不利影响的安全事件。</w:t>
      </w:r>
    </w:p>
    <w:p>
      <w:pPr>
        <w:pStyle w:val="61"/>
        <w:tabs>
          <w:tab w:val="left" w:pos="402"/>
        </w:tabs>
        <w:spacing w:line="474" w:lineRule="exact"/>
        <w:ind w:firstLine="0"/>
        <w:rPr>
          <w:sz w:val="21"/>
          <w:szCs w:val="21"/>
          <w:lang w:eastAsia="zh-CN"/>
        </w:rPr>
      </w:pPr>
      <w:bookmarkStart w:id="23" w:name="bookmark741"/>
      <w:r>
        <w:rPr>
          <w:rFonts w:cs="Times New Roman"/>
          <w:sz w:val="21"/>
          <w:szCs w:val="21"/>
          <w:lang w:eastAsia="zh-CN"/>
        </w:rPr>
        <w:t>3</w:t>
      </w:r>
      <w:bookmarkEnd w:id="23"/>
      <w:r>
        <w:rPr>
          <w:sz w:val="21"/>
          <w:szCs w:val="21"/>
          <w:lang w:eastAsia="zh-CN"/>
        </w:rPr>
        <w:t>、</w:t>
      </w:r>
      <w:r>
        <w:rPr>
          <w:sz w:val="21"/>
          <w:szCs w:val="21"/>
          <w:lang w:eastAsia="zh-CN"/>
        </w:rPr>
        <w:tab/>
      </w:r>
      <w:r>
        <w:rPr>
          <w:sz w:val="21"/>
          <w:szCs w:val="21"/>
          <w:lang w:eastAsia="zh-CN"/>
        </w:rPr>
        <w:t>环保</w:t>
      </w:r>
      <w:r>
        <w:rPr>
          <w:sz w:val="21"/>
          <w:szCs w:val="21"/>
          <w:lang w:val="en-US" w:eastAsia="zh-CN" w:bidi="en-US"/>
        </w:rPr>
        <w:t>（</w:t>
      </w:r>
      <w:r>
        <w:rPr>
          <w:rFonts w:cs="Times New Roman"/>
          <w:sz w:val="21"/>
          <w:szCs w:val="21"/>
          <w:lang w:val="en-US" w:eastAsia="zh-CN" w:bidi="en-US"/>
        </w:rPr>
        <w:t>E）</w:t>
      </w:r>
      <w:r>
        <w:rPr>
          <w:sz w:val="21"/>
          <w:szCs w:val="21"/>
          <w:lang w:eastAsia="zh-CN"/>
        </w:rPr>
        <w:t>目标：最大限度的保护生态环境，控制施工污染，做到工完料净场地清，杜绝违章指挥，违章作业情况</w:t>
      </w:r>
      <w:r>
        <w:rPr>
          <w:rFonts w:hint="eastAsia"/>
          <w:sz w:val="21"/>
          <w:szCs w:val="21"/>
          <w:lang w:eastAsia="zh-CN"/>
        </w:rPr>
        <w:t>（</w:t>
      </w:r>
      <w:r>
        <w:rPr>
          <w:sz w:val="21"/>
          <w:szCs w:val="21"/>
          <w:lang w:eastAsia="zh-CN"/>
        </w:rPr>
        <w:t>包括但不限于）：</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（1）不发生环境污染事故。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（2）不因施工而破坏周边地区的生态环境。</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（3）施工场地内环境不被破坏，及时恢复绿化与植被。</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（4）周围土壤、水质、空气不被污染。</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（5）严格控制噪音排放，确保施工不影响周围居民正常的生产、生活。</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（6）固体废物</w:t>
      </w:r>
      <w:r>
        <w:rPr>
          <w:rFonts w:ascii="宋体" w:hAnsi="宋体"/>
          <w:color w:val="0070C0"/>
          <w:sz w:val="21"/>
          <w:szCs w:val="21"/>
        </w:rPr>
        <w:t>100%</w:t>
      </w:r>
      <w:r>
        <w:rPr>
          <w:rFonts w:hint="eastAsia" w:ascii="宋体" w:hAnsi="宋体"/>
          <w:color w:val="0070C0"/>
          <w:sz w:val="21"/>
          <w:szCs w:val="21"/>
        </w:rPr>
        <w:t>回收处理。</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（7）施工酸碱废水二次处理达标排放，施工、办公、生活废水达标排放。</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（8）不发生放射性泄漏和射源遗失事故。</w:t>
      </w:r>
    </w:p>
    <w:p>
      <w:pPr>
        <w:snapToGrid w:val="0"/>
        <w:spacing w:line="360" w:lineRule="auto"/>
        <w:ind w:firstLine="420" w:firstLineChars="200"/>
        <w:rPr>
          <w:rFonts w:ascii="宋体" w:hAnsi="宋体"/>
          <w:color w:val="0070C0"/>
          <w:sz w:val="21"/>
          <w:szCs w:val="21"/>
        </w:rPr>
      </w:pPr>
      <w:r>
        <w:rPr>
          <w:rFonts w:hint="eastAsia" w:ascii="宋体" w:hAnsi="宋体"/>
          <w:color w:val="0070C0"/>
          <w:sz w:val="21"/>
          <w:szCs w:val="21"/>
        </w:rPr>
        <w:t>（9）不使用国家明文禁止的对环境有污染的物资。</w:t>
      </w:r>
    </w:p>
    <w:p>
      <w:pPr>
        <w:pStyle w:val="61"/>
        <w:spacing w:line="474" w:lineRule="exact"/>
        <w:ind w:firstLine="0"/>
        <w:rPr>
          <w:sz w:val="21"/>
          <w:szCs w:val="21"/>
          <w:lang w:eastAsia="zh-CN"/>
        </w:rPr>
      </w:pPr>
      <w:bookmarkStart w:id="24" w:name="bookmark742"/>
      <w:r>
        <w:rPr>
          <w:sz w:val="21"/>
          <w:szCs w:val="21"/>
          <w:lang w:eastAsia="zh-CN"/>
        </w:rPr>
        <w:t>二、安健环实施、管理办法</w:t>
      </w:r>
    </w:p>
    <w:p>
      <w:pPr>
        <w:pStyle w:val="61"/>
        <w:spacing w:line="474" w:lineRule="exact"/>
        <w:ind w:firstLine="0"/>
        <w:rPr>
          <w:sz w:val="21"/>
          <w:szCs w:val="21"/>
        </w:rPr>
      </w:pPr>
      <w:r>
        <w:rPr>
          <w:sz w:val="21"/>
          <w:szCs w:val="21"/>
        </w:rPr>
        <w:t>（</w:t>
      </w:r>
      <w:bookmarkEnd w:id="24"/>
      <w:r>
        <w:rPr>
          <w:sz w:val="21"/>
          <w:szCs w:val="21"/>
        </w:rPr>
        <w:t>一）安全资质审查</w:t>
      </w:r>
    </w:p>
    <w:p>
      <w:pPr>
        <w:pStyle w:val="61"/>
        <w:numPr>
          <w:ilvl w:val="0"/>
          <w:numId w:val="22"/>
        </w:numPr>
        <w:tabs>
          <w:tab w:val="left" w:pos="344"/>
        </w:tabs>
        <w:spacing w:line="474" w:lineRule="exact"/>
        <w:ind w:firstLine="0"/>
        <w:rPr>
          <w:sz w:val="21"/>
          <w:szCs w:val="21"/>
          <w:lang w:eastAsia="zh-CN"/>
        </w:rPr>
      </w:pPr>
      <w:bookmarkStart w:id="25" w:name="bookmark743"/>
      <w:bookmarkEnd w:id="25"/>
      <w:r>
        <w:rPr>
          <w:sz w:val="21"/>
          <w:szCs w:val="21"/>
          <w:lang w:eastAsia="zh-CN"/>
        </w:rPr>
        <w:t>营业执照和资质证书，法人代表资格证书，施工安全许可证书。</w:t>
      </w:r>
    </w:p>
    <w:p>
      <w:pPr>
        <w:pStyle w:val="61"/>
        <w:numPr>
          <w:ilvl w:val="0"/>
          <w:numId w:val="22"/>
        </w:numPr>
        <w:tabs>
          <w:tab w:val="left" w:pos="351"/>
        </w:tabs>
        <w:spacing w:line="474" w:lineRule="exact"/>
        <w:ind w:firstLine="0"/>
        <w:rPr>
          <w:sz w:val="21"/>
          <w:szCs w:val="21"/>
          <w:lang w:eastAsia="zh-CN"/>
        </w:rPr>
      </w:pPr>
      <w:bookmarkStart w:id="26" w:name="bookmark744"/>
      <w:bookmarkEnd w:id="26"/>
      <w:r>
        <w:rPr>
          <w:sz w:val="21"/>
          <w:szCs w:val="21"/>
          <w:lang w:eastAsia="zh-CN"/>
        </w:rPr>
        <w:t>施工简历和近三年的安全施工记录。</w:t>
      </w:r>
    </w:p>
    <w:p>
      <w:pPr>
        <w:pStyle w:val="61"/>
        <w:numPr>
          <w:ilvl w:val="0"/>
          <w:numId w:val="22"/>
        </w:numPr>
        <w:tabs>
          <w:tab w:val="left" w:pos="358"/>
        </w:tabs>
        <w:spacing w:line="474" w:lineRule="exact"/>
        <w:ind w:firstLine="0"/>
        <w:rPr>
          <w:sz w:val="21"/>
          <w:szCs w:val="21"/>
          <w:lang w:eastAsia="zh-CN"/>
        </w:rPr>
      </w:pPr>
      <w:bookmarkStart w:id="27" w:name="bookmark745"/>
      <w:bookmarkEnd w:id="27"/>
      <w:r>
        <w:rPr>
          <w:sz w:val="21"/>
          <w:szCs w:val="21"/>
          <w:lang w:eastAsia="zh-CN"/>
        </w:rPr>
        <w:t>施工负责人、工程技术人员和员工技术素质符合要求，特种作业人员必须持有政府主管部门颁发的有效证件。</w:t>
      </w:r>
    </w:p>
    <w:p>
      <w:pPr>
        <w:pStyle w:val="61"/>
        <w:numPr>
          <w:ilvl w:val="0"/>
          <w:numId w:val="22"/>
        </w:numPr>
        <w:tabs>
          <w:tab w:val="left" w:pos="358"/>
        </w:tabs>
        <w:spacing w:line="474" w:lineRule="exact"/>
        <w:ind w:firstLine="0"/>
        <w:rPr>
          <w:sz w:val="21"/>
          <w:szCs w:val="21"/>
          <w:lang w:eastAsia="zh-CN"/>
        </w:rPr>
      </w:pPr>
      <w:bookmarkStart w:id="28" w:name="bookmark746"/>
      <w:bookmarkEnd w:id="28"/>
      <w:r>
        <w:rPr>
          <w:sz w:val="21"/>
          <w:szCs w:val="21"/>
          <w:lang w:eastAsia="zh-CN"/>
        </w:rPr>
        <w:t>具有两级机构的承包方，必须设有专职安全管理机构；施工队伍超过</w:t>
      </w:r>
      <w:r>
        <w:rPr>
          <w:rFonts w:cs="Times New Roman"/>
          <w:sz w:val="21"/>
          <w:szCs w:val="21"/>
          <w:lang w:eastAsia="zh-CN"/>
        </w:rPr>
        <w:t>30</w:t>
      </w:r>
      <w:r>
        <w:rPr>
          <w:sz w:val="21"/>
          <w:szCs w:val="21"/>
          <w:lang w:eastAsia="zh-CN"/>
        </w:rPr>
        <w:t>人的设专职安全员；施工队伍</w:t>
      </w:r>
      <w:r>
        <w:rPr>
          <w:rFonts w:cs="Times New Roman"/>
          <w:sz w:val="21"/>
          <w:szCs w:val="21"/>
          <w:lang w:eastAsia="zh-CN"/>
        </w:rPr>
        <w:t>30</w:t>
      </w:r>
      <w:r>
        <w:rPr>
          <w:sz w:val="21"/>
          <w:szCs w:val="21"/>
          <w:lang w:eastAsia="zh-CN"/>
        </w:rPr>
        <w:t>人以下的设兼职或专职安全员。</w:t>
      </w:r>
    </w:p>
    <w:p>
      <w:pPr>
        <w:pStyle w:val="61"/>
        <w:numPr>
          <w:ilvl w:val="0"/>
          <w:numId w:val="22"/>
        </w:numPr>
        <w:tabs>
          <w:tab w:val="left" w:pos="358"/>
        </w:tabs>
        <w:spacing w:line="474" w:lineRule="exact"/>
        <w:ind w:firstLine="0"/>
        <w:rPr>
          <w:sz w:val="21"/>
          <w:szCs w:val="21"/>
          <w:lang w:eastAsia="zh-CN"/>
        </w:rPr>
      </w:pPr>
      <w:bookmarkStart w:id="29" w:name="bookmark747"/>
      <w:bookmarkEnd w:id="29"/>
      <w:r>
        <w:rPr>
          <w:sz w:val="21"/>
          <w:szCs w:val="21"/>
          <w:lang w:eastAsia="zh-CN"/>
        </w:rPr>
        <w:t>甲方要求提供的其他资料。</w:t>
      </w:r>
    </w:p>
    <w:p>
      <w:pPr>
        <w:pStyle w:val="61"/>
        <w:numPr>
          <w:ilvl w:val="0"/>
          <w:numId w:val="22"/>
        </w:numPr>
        <w:tabs>
          <w:tab w:val="left" w:pos="358"/>
        </w:tabs>
        <w:spacing w:line="474" w:lineRule="exact"/>
        <w:ind w:firstLine="0"/>
        <w:rPr>
          <w:sz w:val="21"/>
          <w:szCs w:val="21"/>
          <w:lang w:eastAsia="zh-CN"/>
        </w:rPr>
      </w:pPr>
      <w:bookmarkStart w:id="30" w:name="bookmark748"/>
      <w:bookmarkEnd w:id="30"/>
      <w:r>
        <w:rPr>
          <w:sz w:val="21"/>
          <w:szCs w:val="21"/>
          <w:lang w:eastAsia="zh-CN"/>
        </w:rPr>
        <w:t>以上材料乙方应报甲方安全监督部门（安健环部）备案。</w:t>
      </w:r>
    </w:p>
    <w:p>
      <w:pPr>
        <w:pStyle w:val="61"/>
        <w:spacing w:after="220" w:line="474" w:lineRule="exact"/>
        <w:ind w:firstLine="140"/>
        <w:rPr>
          <w:sz w:val="21"/>
          <w:szCs w:val="21"/>
          <w:lang w:eastAsia="zh-CN"/>
        </w:rPr>
      </w:pPr>
      <w:bookmarkStart w:id="31" w:name="bookmark749"/>
      <w:r>
        <w:rPr>
          <w:sz w:val="21"/>
          <w:szCs w:val="21"/>
          <w:lang w:eastAsia="zh-CN"/>
        </w:rPr>
        <w:t>（</w:t>
      </w:r>
      <w:bookmarkEnd w:id="31"/>
      <w:r>
        <w:rPr>
          <w:sz w:val="21"/>
          <w:szCs w:val="21"/>
          <w:lang w:eastAsia="zh-CN"/>
        </w:rPr>
        <w:t>二）安全生产费用提取和使用管理</w:t>
      </w:r>
    </w:p>
    <w:p>
      <w:pPr>
        <w:pStyle w:val="61"/>
        <w:spacing w:line="413" w:lineRule="auto"/>
        <w:ind w:firstLine="480"/>
        <w:rPr>
          <w:sz w:val="21"/>
          <w:szCs w:val="21"/>
          <w:lang w:eastAsia="zh-CN"/>
        </w:rPr>
      </w:pPr>
      <w:r>
        <w:rPr>
          <w:rFonts w:cs="Times New Roman"/>
          <w:sz w:val="21"/>
          <w:szCs w:val="21"/>
          <w:lang w:eastAsia="zh-CN"/>
        </w:rPr>
        <w:t>1</w:t>
      </w:r>
      <w:r>
        <w:rPr>
          <w:sz w:val="21"/>
          <w:szCs w:val="21"/>
          <w:lang w:eastAsia="zh-CN"/>
        </w:rPr>
        <w:t>一般规定</w:t>
      </w:r>
    </w:p>
    <w:p>
      <w:pPr>
        <w:pStyle w:val="61"/>
        <w:spacing w:line="474" w:lineRule="exact"/>
        <w:ind w:firstLine="500"/>
        <w:rPr>
          <w:sz w:val="21"/>
          <w:szCs w:val="21"/>
          <w:lang w:eastAsia="zh-CN"/>
        </w:rPr>
      </w:pPr>
      <w:r>
        <w:rPr>
          <w:sz w:val="21"/>
          <w:szCs w:val="21"/>
          <w:lang w:eastAsia="zh-CN"/>
        </w:rPr>
        <w:t>按照国家有关规定，在工程概算中单列工程安全防护措施费用，提取标准按照财政部、国家安全生产监督管理总局联合制定的《企业安全生产费用提取和使用管理办法》</w:t>
      </w:r>
      <w:r>
        <w:rPr>
          <w:color w:val="FF0000"/>
          <w:sz w:val="21"/>
          <w:szCs w:val="21"/>
          <w:lang w:eastAsia="zh-CN"/>
        </w:rPr>
        <w:t>（财企</w:t>
      </w:r>
      <w:r>
        <w:rPr>
          <w:rFonts w:cs="Times New Roman"/>
          <w:color w:val="FF0000"/>
          <w:sz w:val="21"/>
          <w:szCs w:val="21"/>
          <w:lang w:eastAsia="zh-CN"/>
        </w:rPr>
        <w:t>（2012）16</w:t>
      </w:r>
      <w:r>
        <w:rPr>
          <w:color w:val="FF0000"/>
          <w:sz w:val="21"/>
          <w:szCs w:val="21"/>
          <w:lang w:eastAsia="zh-CN"/>
        </w:rPr>
        <w:t>号）</w:t>
      </w:r>
      <w:r>
        <w:rPr>
          <w:sz w:val="21"/>
          <w:szCs w:val="21"/>
          <w:lang w:eastAsia="zh-CN"/>
        </w:rPr>
        <w:t>第七条规定，按房屋建筑工程、电力工程类别安全费提取标准为</w:t>
      </w:r>
      <w:r>
        <w:rPr>
          <w:rFonts w:cs="Times New Roman"/>
          <w:sz w:val="21"/>
          <w:szCs w:val="21"/>
          <w:lang w:eastAsia="zh-CN"/>
        </w:rPr>
        <w:t>2.0</w:t>
      </w:r>
      <w:r>
        <w:rPr>
          <w:rFonts w:eastAsia="PMingLiU" w:cs="Times New Roman"/>
          <w:sz w:val="21"/>
          <w:szCs w:val="21"/>
          <w:lang w:eastAsia="zh-CN"/>
        </w:rPr>
        <w:t>%</w:t>
      </w:r>
      <w:r>
        <w:rPr>
          <w:sz w:val="21"/>
          <w:szCs w:val="21"/>
          <w:lang w:eastAsia="zh-CN"/>
        </w:rPr>
        <w:t>。在开工前由承包方一次性存入专用账户进行管理。</w:t>
      </w:r>
    </w:p>
    <w:p>
      <w:pPr>
        <w:pStyle w:val="61"/>
        <w:numPr>
          <w:ilvl w:val="0"/>
          <w:numId w:val="23"/>
        </w:numPr>
        <w:spacing w:line="473" w:lineRule="exact"/>
        <w:ind w:firstLine="500"/>
        <w:jc w:val="both"/>
        <w:rPr>
          <w:sz w:val="21"/>
          <w:szCs w:val="21"/>
        </w:rPr>
      </w:pPr>
      <w:bookmarkStart w:id="32" w:name="bookmark750"/>
      <w:bookmarkEnd w:id="32"/>
      <w:r>
        <w:rPr>
          <w:sz w:val="21"/>
          <w:szCs w:val="21"/>
        </w:rPr>
        <w:t>安全费用的使用管理</w:t>
      </w:r>
    </w:p>
    <w:p>
      <w:pPr>
        <w:pStyle w:val="61"/>
        <w:spacing w:line="473" w:lineRule="exact"/>
        <w:ind w:firstLine="500"/>
        <w:jc w:val="both"/>
        <w:rPr>
          <w:sz w:val="21"/>
          <w:szCs w:val="21"/>
          <w:lang w:eastAsia="zh-CN"/>
        </w:rPr>
      </w:pPr>
      <w:r>
        <w:rPr>
          <w:rFonts w:cs="Times New Roman"/>
          <w:sz w:val="21"/>
          <w:szCs w:val="21"/>
          <w:lang w:val="en-US" w:eastAsia="zh-CN" w:bidi="en-US"/>
        </w:rPr>
        <w:t>2.1</w:t>
      </w:r>
      <w:r>
        <w:rPr>
          <w:sz w:val="21"/>
          <w:szCs w:val="21"/>
          <w:lang w:eastAsia="zh-CN"/>
        </w:rPr>
        <w:t>承包方应结合工程实际情况单独列出安全费用及项目清单，工程开工前，做好分阶段安全防护措施费使用计划，报监理单位审核并经甲方审批后分阶段及时拨付；施工承包单位对安全防护措施实施负全责。发包方、监理单位对安全费用的投入和使用进行监督。安全费用实报实销，承包方申请支付安全措施费用时应提交包括用工证明、租用合同、釆购发票等原始证明文件，监理单位审核并经甲方批准后按月支付。</w:t>
      </w:r>
    </w:p>
    <w:p>
      <w:pPr>
        <w:pStyle w:val="61"/>
        <w:spacing w:line="475" w:lineRule="exact"/>
        <w:ind w:firstLine="500"/>
        <w:jc w:val="both"/>
        <w:rPr>
          <w:sz w:val="21"/>
          <w:szCs w:val="21"/>
          <w:lang w:eastAsia="zh-CN"/>
        </w:rPr>
      </w:pPr>
      <w:r>
        <w:rPr>
          <w:rFonts w:cs="Times New Roman"/>
          <w:sz w:val="21"/>
          <w:szCs w:val="21"/>
          <w:lang w:val="en-US" w:eastAsia="zh-CN" w:bidi="en-US"/>
        </w:rPr>
        <w:t>2.2</w:t>
      </w:r>
      <w:r>
        <w:rPr>
          <w:sz w:val="21"/>
          <w:szCs w:val="21"/>
          <w:lang w:eastAsia="zh-CN"/>
        </w:rPr>
        <w:t>安全费用应按以下范围使用：</w:t>
      </w:r>
    </w:p>
    <w:p>
      <w:pPr>
        <w:pStyle w:val="61"/>
        <w:spacing w:line="475" w:lineRule="exact"/>
        <w:ind w:firstLine="500"/>
        <w:jc w:val="both"/>
        <w:rPr>
          <w:sz w:val="21"/>
          <w:szCs w:val="21"/>
          <w:lang w:eastAsia="zh-CN"/>
        </w:rPr>
      </w:pPr>
      <w:r>
        <w:rPr>
          <w:rFonts w:cs="Times New Roman"/>
          <w:sz w:val="21"/>
          <w:szCs w:val="21"/>
          <w:lang w:val="en-US" w:eastAsia="zh-CN" w:bidi="en-US"/>
        </w:rPr>
        <w:t>2.2.1</w:t>
      </w:r>
      <w:r>
        <w:rPr>
          <w:sz w:val="21"/>
          <w:szCs w:val="21"/>
          <w:lang w:eastAsia="zh-CN"/>
        </w:rPr>
        <w:t>完善、改造和维护安全防护设施设备支出（不含</w:t>
      </w:r>
      <w:r>
        <w:rPr>
          <w:sz w:val="21"/>
          <w:szCs w:val="21"/>
          <w:lang w:val="zh-CN" w:eastAsia="zh-CN" w:bidi="zh-CN"/>
        </w:rPr>
        <w:t>“三</w:t>
      </w:r>
      <w:r>
        <w:rPr>
          <w:sz w:val="21"/>
          <w:szCs w:val="21"/>
          <w:lang w:eastAsia="zh-CN"/>
        </w:rPr>
        <w:t>同时</w:t>
      </w:r>
      <w:r>
        <w:rPr>
          <w:sz w:val="21"/>
          <w:szCs w:val="21"/>
          <w:lang w:val="zh-CN" w:eastAsia="zh-CN" w:bidi="zh-CN"/>
        </w:rPr>
        <w:t>”要求</w:t>
      </w:r>
      <w:r>
        <w:rPr>
          <w:sz w:val="21"/>
          <w:szCs w:val="21"/>
          <w:lang w:eastAsia="zh-CN"/>
        </w:rPr>
        <w:t>初期投入的安全设施），包括施工现场临时用电系统、洞口、临边、机械设备、高处作业防护、交叉作业防护、防火、防爆、防尘、防毒、防雷、防台风、防地质灾害、地下工程有害气体监测、通风、临时安全防护等设施设备支出；</w:t>
      </w:r>
    </w:p>
    <w:p>
      <w:pPr>
        <w:pStyle w:val="61"/>
        <w:spacing w:line="475" w:lineRule="exact"/>
        <w:ind w:firstLine="500"/>
        <w:jc w:val="both"/>
        <w:rPr>
          <w:sz w:val="21"/>
          <w:szCs w:val="21"/>
          <w:lang w:eastAsia="zh-CN"/>
        </w:rPr>
      </w:pPr>
      <w:r>
        <w:rPr>
          <w:rFonts w:cs="Times New Roman"/>
          <w:sz w:val="21"/>
          <w:szCs w:val="21"/>
          <w:lang w:eastAsia="zh-CN"/>
        </w:rPr>
        <w:t>2</w:t>
      </w:r>
      <w:r>
        <w:rPr>
          <w:rFonts w:eastAsia="PMingLiU" w:cs="Times New Roman"/>
          <w:sz w:val="21"/>
          <w:szCs w:val="21"/>
          <w:lang w:eastAsia="zh-CN"/>
        </w:rPr>
        <w:t>.</w:t>
      </w:r>
      <w:r>
        <w:rPr>
          <w:rFonts w:cs="Times New Roman"/>
          <w:sz w:val="21"/>
          <w:szCs w:val="21"/>
          <w:lang w:eastAsia="zh-CN"/>
        </w:rPr>
        <w:t>2</w:t>
      </w:r>
      <w:r>
        <w:rPr>
          <w:rFonts w:eastAsia="PMingLiU" w:cs="Times New Roman"/>
          <w:sz w:val="21"/>
          <w:szCs w:val="21"/>
          <w:lang w:eastAsia="zh-CN"/>
        </w:rPr>
        <w:t>.</w:t>
      </w:r>
      <w:r>
        <w:rPr>
          <w:rFonts w:cs="Times New Roman"/>
          <w:sz w:val="21"/>
          <w:szCs w:val="21"/>
          <w:lang w:eastAsia="zh-CN"/>
        </w:rPr>
        <w:t>2</w:t>
      </w:r>
      <w:r>
        <w:rPr>
          <w:sz w:val="21"/>
          <w:szCs w:val="21"/>
          <w:lang w:eastAsia="zh-CN"/>
        </w:rPr>
        <w:t>配备、维护、保养应急救援器材、设备支出和应急演练支出；</w:t>
      </w:r>
    </w:p>
    <w:p>
      <w:pPr>
        <w:pStyle w:val="61"/>
        <w:spacing w:line="475" w:lineRule="exact"/>
        <w:ind w:firstLine="480"/>
        <w:jc w:val="both"/>
        <w:rPr>
          <w:sz w:val="21"/>
          <w:szCs w:val="21"/>
          <w:lang w:eastAsia="zh-CN"/>
        </w:rPr>
      </w:pPr>
      <w:r>
        <w:rPr>
          <w:rFonts w:cs="Times New Roman"/>
          <w:sz w:val="21"/>
          <w:szCs w:val="21"/>
          <w:lang w:val="en-US" w:eastAsia="zh-CN" w:bidi="en-US"/>
        </w:rPr>
        <w:t>2.2.3</w:t>
      </w:r>
      <w:r>
        <w:rPr>
          <w:sz w:val="21"/>
          <w:szCs w:val="21"/>
          <w:lang w:eastAsia="zh-CN"/>
        </w:rPr>
        <w:t>开展重大危险源和事故隐患评估、监控和整改支出；</w:t>
      </w:r>
    </w:p>
    <w:p>
      <w:pPr>
        <w:pStyle w:val="61"/>
        <w:spacing w:line="475" w:lineRule="exact"/>
        <w:ind w:firstLine="500"/>
        <w:jc w:val="both"/>
        <w:rPr>
          <w:sz w:val="21"/>
          <w:szCs w:val="21"/>
          <w:lang w:eastAsia="zh-CN"/>
        </w:rPr>
      </w:pPr>
      <w:r>
        <w:rPr>
          <w:rFonts w:cs="Times New Roman"/>
          <w:sz w:val="21"/>
          <w:szCs w:val="21"/>
          <w:lang w:val="en-US" w:eastAsia="zh-CN" w:bidi="en-US"/>
        </w:rPr>
        <w:t>2.2.4</w:t>
      </w:r>
      <w:r>
        <w:rPr>
          <w:sz w:val="21"/>
          <w:szCs w:val="21"/>
          <w:lang w:eastAsia="zh-CN"/>
        </w:rPr>
        <w:t>安全生产检查、评价（不包括新建、改建、扩建项目安全评价）、咨询和标准化建设支出；</w:t>
      </w:r>
    </w:p>
    <w:p>
      <w:pPr>
        <w:pStyle w:val="61"/>
        <w:spacing w:line="475" w:lineRule="exact"/>
        <w:ind w:firstLine="500"/>
        <w:jc w:val="both"/>
        <w:rPr>
          <w:sz w:val="21"/>
          <w:szCs w:val="21"/>
          <w:lang w:eastAsia="zh-CN"/>
        </w:rPr>
      </w:pPr>
      <w:r>
        <w:rPr>
          <w:rFonts w:cs="Times New Roman"/>
          <w:sz w:val="21"/>
          <w:szCs w:val="21"/>
          <w:lang w:val="en-US" w:eastAsia="zh-CN" w:bidi="en-US"/>
        </w:rPr>
        <w:t>2.2.5</w:t>
      </w:r>
      <w:r>
        <w:rPr>
          <w:sz w:val="21"/>
          <w:szCs w:val="21"/>
          <w:lang w:eastAsia="zh-CN"/>
        </w:rPr>
        <w:t>配备和更新现场作业人员安全防护用品支出，包括釆购救生设备；</w:t>
      </w:r>
    </w:p>
    <w:p>
      <w:pPr>
        <w:pStyle w:val="61"/>
        <w:spacing w:line="475" w:lineRule="exact"/>
        <w:ind w:firstLine="500"/>
        <w:jc w:val="both"/>
        <w:rPr>
          <w:sz w:val="21"/>
          <w:szCs w:val="21"/>
          <w:lang w:eastAsia="zh-CN"/>
        </w:rPr>
      </w:pPr>
      <w:r>
        <w:rPr>
          <w:rFonts w:cs="Times New Roman"/>
          <w:sz w:val="21"/>
          <w:szCs w:val="21"/>
          <w:lang w:val="en-US" w:eastAsia="zh-CN" w:bidi="en-US"/>
        </w:rPr>
        <w:t>2.2.6</w:t>
      </w:r>
      <w:r>
        <w:rPr>
          <w:sz w:val="21"/>
          <w:szCs w:val="21"/>
          <w:lang w:eastAsia="zh-CN"/>
        </w:rPr>
        <w:t>安全生产宣传、教育、培训支出；</w:t>
      </w:r>
    </w:p>
    <w:p>
      <w:pPr>
        <w:pStyle w:val="61"/>
        <w:spacing w:line="475" w:lineRule="exact"/>
        <w:ind w:firstLine="500"/>
        <w:jc w:val="both"/>
        <w:rPr>
          <w:sz w:val="21"/>
          <w:szCs w:val="21"/>
          <w:lang w:eastAsia="zh-CN"/>
        </w:rPr>
      </w:pPr>
      <w:r>
        <w:rPr>
          <w:rFonts w:cs="Times New Roman"/>
          <w:sz w:val="21"/>
          <w:szCs w:val="21"/>
          <w:lang w:val="en-US" w:eastAsia="zh-CN" w:bidi="en-US"/>
        </w:rPr>
        <w:t>2.2.7</w:t>
      </w:r>
      <w:r>
        <w:rPr>
          <w:sz w:val="21"/>
          <w:szCs w:val="21"/>
          <w:lang w:eastAsia="zh-CN"/>
        </w:rPr>
        <w:t>安全生产适用的新技术、新标准、新工艺、新装备的推广应用支出；</w:t>
      </w:r>
    </w:p>
    <w:p>
      <w:pPr>
        <w:pStyle w:val="61"/>
        <w:spacing w:line="475" w:lineRule="exact"/>
        <w:ind w:firstLine="500"/>
        <w:jc w:val="both"/>
        <w:rPr>
          <w:sz w:val="21"/>
          <w:szCs w:val="21"/>
          <w:lang w:eastAsia="zh-CN"/>
        </w:rPr>
      </w:pPr>
      <w:r>
        <w:rPr>
          <w:rFonts w:cs="Times New Roman"/>
          <w:sz w:val="21"/>
          <w:szCs w:val="21"/>
          <w:lang w:val="en-US" w:eastAsia="zh-CN" w:bidi="en-US"/>
        </w:rPr>
        <w:t>2.2.8</w:t>
      </w:r>
      <w:r>
        <w:rPr>
          <w:sz w:val="21"/>
          <w:szCs w:val="21"/>
          <w:lang w:eastAsia="zh-CN"/>
        </w:rPr>
        <w:t>安全设施及特种设备检测检验支出；</w:t>
      </w:r>
    </w:p>
    <w:p>
      <w:pPr>
        <w:pStyle w:val="61"/>
        <w:spacing w:line="475" w:lineRule="exact"/>
        <w:ind w:firstLine="500"/>
        <w:jc w:val="both"/>
        <w:rPr>
          <w:sz w:val="21"/>
          <w:szCs w:val="21"/>
          <w:lang w:eastAsia="zh-CN"/>
        </w:rPr>
      </w:pPr>
      <w:r>
        <w:rPr>
          <w:rFonts w:cs="Times New Roman"/>
          <w:sz w:val="21"/>
          <w:szCs w:val="21"/>
          <w:lang w:val="en-US" w:eastAsia="zh-CN" w:bidi="en-US"/>
        </w:rPr>
        <w:t>2.2.9</w:t>
      </w:r>
      <w:r>
        <w:rPr>
          <w:sz w:val="21"/>
          <w:szCs w:val="21"/>
          <w:lang w:eastAsia="zh-CN"/>
        </w:rPr>
        <w:t>其他与安全生产直接相关的支出。</w:t>
      </w:r>
    </w:p>
    <w:p>
      <w:pPr>
        <w:pStyle w:val="61"/>
        <w:spacing w:line="475" w:lineRule="exact"/>
        <w:ind w:firstLine="500"/>
        <w:jc w:val="both"/>
        <w:rPr>
          <w:sz w:val="21"/>
          <w:szCs w:val="21"/>
          <w:lang w:eastAsia="zh-CN"/>
        </w:rPr>
      </w:pPr>
      <w:r>
        <w:rPr>
          <w:rFonts w:cs="Times New Roman"/>
          <w:sz w:val="21"/>
          <w:szCs w:val="21"/>
          <w:lang w:val="en-US" w:eastAsia="zh-CN" w:bidi="en-US"/>
        </w:rPr>
        <w:t>2.3</w:t>
      </w:r>
      <w:r>
        <w:rPr>
          <w:sz w:val="21"/>
          <w:szCs w:val="21"/>
          <w:lang w:eastAsia="zh-CN"/>
        </w:rPr>
        <w:t>安全防护措施费应专户核算、专款专用、足额使用，不得挤占、挪用、欠用。</w:t>
      </w:r>
      <w:r>
        <w:rPr>
          <w:rFonts w:hint="eastAsia"/>
          <w:color w:val="0070C0"/>
          <w:sz w:val="21"/>
          <w:szCs w:val="21"/>
          <w:lang w:eastAsia="zh-CN"/>
        </w:rPr>
        <w:t>对列入工程建设安全作业环境所需的安全生产费用，应当专款专用，制定安全生产费用投入计划，保证安全生产费用的投入，确保现场具备完善的安全生产施工条件。</w:t>
      </w:r>
    </w:p>
    <w:p>
      <w:pPr>
        <w:pStyle w:val="61"/>
        <w:spacing w:line="475" w:lineRule="exact"/>
        <w:ind w:firstLine="640"/>
        <w:jc w:val="both"/>
        <w:rPr>
          <w:sz w:val="21"/>
          <w:szCs w:val="21"/>
          <w:lang w:eastAsia="zh-CN"/>
        </w:rPr>
      </w:pPr>
      <w:bookmarkStart w:id="33" w:name="bookmark751"/>
      <w:r>
        <w:rPr>
          <w:sz w:val="21"/>
          <w:szCs w:val="21"/>
          <w:lang w:eastAsia="zh-CN"/>
        </w:rPr>
        <w:t>（</w:t>
      </w:r>
      <w:bookmarkEnd w:id="33"/>
      <w:r>
        <w:rPr>
          <w:sz w:val="21"/>
          <w:szCs w:val="21"/>
          <w:lang w:eastAsia="zh-CN"/>
        </w:rPr>
        <w:t>三）安健环风险保证金</w:t>
      </w:r>
    </w:p>
    <w:p>
      <w:pPr>
        <w:pStyle w:val="61"/>
        <w:spacing w:line="475" w:lineRule="exact"/>
        <w:ind w:firstLine="500"/>
        <w:jc w:val="both"/>
        <w:rPr>
          <w:sz w:val="21"/>
          <w:szCs w:val="21"/>
          <w:lang w:eastAsia="zh-CN"/>
        </w:rPr>
      </w:pPr>
      <w:r>
        <w:rPr>
          <w:rFonts w:cs="Times New Roman"/>
          <w:sz w:val="21"/>
          <w:szCs w:val="21"/>
          <w:lang w:eastAsia="zh-CN"/>
        </w:rPr>
        <w:t>1</w:t>
      </w:r>
      <w:r>
        <w:rPr>
          <w:sz w:val="21"/>
          <w:szCs w:val="21"/>
          <w:lang w:eastAsia="zh-CN"/>
        </w:rPr>
        <w:t>.本工程安健环风险保证金为</w:t>
      </w:r>
      <w:r>
        <w:rPr>
          <w:rFonts w:eastAsia="PMingLiU"/>
          <w:b/>
          <w:bCs/>
          <w:sz w:val="21"/>
          <w:szCs w:val="21"/>
          <w:u w:val="single"/>
          <w:lang w:eastAsia="zh-CN"/>
        </w:rPr>
        <w:t xml:space="preserve">    </w:t>
      </w:r>
      <w:r>
        <w:rPr>
          <w:sz w:val="21"/>
          <w:szCs w:val="21"/>
          <w:lang w:eastAsia="zh-CN"/>
        </w:rPr>
        <w:t>万元人民币。承包方在合同协议书签订后</w:t>
      </w:r>
      <w:r>
        <w:rPr>
          <w:rFonts w:cs="Times New Roman"/>
          <w:sz w:val="21"/>
          <w:szCs w:val="21"/>
          <w:lang w:eastAsia="zh-CN"/>
        </w:rPr>
        <w:t>15</w:t>
      </w:r>
      <w:r>
        <w:rPr>
          <w:sz w:val="21"/>
          <w:szCs w:val="21"/>
          <w:lang w:eastAsia="zh-CN"/>
        </w:rPr>
        <w:t>天内，应向发包，方开具以发包方为受益人的金额为人民币</w:t>
      </w:r>
      <w:r>
        <w:rPr>
          <w:rFonts w:hint="eastAsia"/>
          <w:sz w:val="21"/>
          <w:szCs w:val="21"/>
          <w:u w:val="single"/>
          <w:lang w:eastAsia="zh-CN"/>
        </w:rPr>
        <w:t xml:space="preserve"> </w:t>
      </w:r>
      <w:r>
        <w:rPr>
          <w:rFonts w:eastAsia="PMingLiU"/>
          <w:sz w:val="21"/>
          <w:szCs w:val="21"/>
          <w:u w:val="single"/>
          <w:lang w:eastAsia="zh-CN"/>
        </w:rPr>
        <w:t xml:space="preserve">   </w:t>
      </w:r>
      <w:r>
        <w:rPr>
          <w:sz w:val="21"/>
          <w:szCs w:val="21"/>
          <w:u w:val="single"/>
          <w:lang w:eastAsia="zh-CN"/>
        </w:rPr>
        <w:t>万元整</w:t>
      </w:r>
      <w:r>
        <w:rPr>
          <w:sz w:val="21"/>
          <w:szCs w:val="21"/>
          <w:lang w:eastAsia="zh-CN"/>
        </w:rPr>
        <w:t>的不可撤销的银行保函，同时通知监理工程师。保函有效期至本工程竣工验收为止。</w:t>
      </w:r>
    </w:p>
    <w:p>
      <w:pPr>
        <w:pStyle w:val="61"/>
        <w:spacing w:line="475" w:lineRule="exact"/>
        <w:ind w:firstLine="480"/>
        <w:jc w:val="both"/>
        <w:rPr>
          <w:sz w:val="21"/>
          <w:szCs w:val="21"/>
          <w:lang w:eastAsia="zh-CN"/>
        </w:rPr>
      </w:pPr>
      <w:r>
        <w:rPr>
          <w:rFonts w:cs="Times New Roman"/>
          <w:sz w:val="21"/>
          <w:szCs w:val="21"/>
          <w:lang w:eastAsia="zh-CN"/>
        </w:rPr>
        <w:t>2</w:t>
      </w:r>
      <w:r>
        <w:rPr>
          <w:sz w:val="21"/>
          <w:szCs w:val="21"/>
          <w:lang w:eastAsia="zh-CN"/>
        </w:rPr>
        <w:t>.安健环风险保证金使用管理：</w:t>
      </w:r>
    </w:p>
    <w:p>
      <w:pPr>
        <w:pStyle w:val="61"/>
        <w:spacing w:line="475" w:lineRule="exact"/>
        <w:ind w:firstLine="480"/>
        <w:jc w:val="both"/>
        <w:rPr>
          <w:sz w:val="21"/>
          <w:szCs w:val="21"/>
          <w:lang w:eastAsia="zh-CN"/>
        </w:rPr>
      </w:pPr>
      <w:r>
        <w:rPr>
          <w:rFonts w:cs="Times New Roman"/>
          <w:sz w:val="21"/>
          <w:szCs w:val="21"/>
          <w:lang w:val="en-US" w:eastAsia="zh-CN" w:bidi="en-US"/>
        </w:rPr>
        <w:t>2.1</w:t>
      </w:r>
      <w:r>
        <w:rPr>
          <w:sz w:val="21"/>
          <w:szCs w:val="21"/>
          <w:lang w:eastAsia="zh-CN"/>
        </w:rPr>
        <w:t>乙方发生人身伤亡事故或其它安全生产事故后，不釆取有效处置措施并支付费用的，由甲方代为支付并一次性没收所有安</w:t>
      </w:r>
      <w:r>
        <w:rPr>
          <w:rFonts w:hint="eastAsia"/>
          <w:sz w:val="21"/>
          <w:szCs w:val="21"/>
          <w:lang w:eastAsia="zh-CN"/>
        </w:rPr>
        <w:t>健</w:t>
      </w:r>
      <w:r>
        <w:rPr>
          <w:sz w:val="21"/>
          <w:szCs w:val="21"/>
          <w:lang w:eastAsia="zh-CN"/>
        </w:rPr>
        <w:t>环风险保证金；如果安健环风险保证金数额不足，甲方有权在支付下一次工程进度款时扣除不足部分。</w:t>
      </w:r>
    </w:p>
    <w:p>
      <w:pPr>
        <w:pStyle w:val="61"/>
        <w:spacing w:line="480" w:lineRule="exact"/>
        <w:ind w:firstLine="480"/>
        <w:jc w:val="both"/>
        <w:rPr>
          <w:sz w:val="21"/>
          <w:szCs w:val="21"/>
          <w:lang w:eastAsia="zh-CN"/>
        </w:rPr>
      </w:pPr>
      <w:r>
        <w:rPr>
          <w:rFonts w:cs="Times New Roman"/>
          <w:sz w:val="21"/>
          <w:szCs w:val="21"/>
          <w:lang w:val="en-US" w:eastAsia="zh-CN" w:bidi="en-US"/>
        </w:rPr>
        <w:t>2.2</w:t>
      </w:r>
      <w:r>
        <w:rPr>
          <w:sz w:val="21"/>
          <w:szCs w:val="21"/>
          <w:lang w:eastAsia="zh-CN"/>
        </w:rPr>
        <w:t>工程完工后，乙方凭项目甲方安健环总监或负责人签字确认的考核结果办理安健环风险保证金返还手续，如果发生的安全责任事故或行政处罚都已处理完成，则将安全风险保证金保函返还给乙方。</w:t>
      </w:r>
    </w:p>
    <w:p>
      <w:pPr>
        <w:pStyle w:val="61"/>
        <w:numPr>
          <w:ilvl w:val="0"/>
          <w:numId w:val="24"/>
        </w:numPr>
        <w:tabs>
          <w:tab w:val="left" w:pos="1239"/>
        </w:tabs>
        <w:spacing w:line="480" w:lineRule="exact"/>
        <w:ind w:firstLine="600"/>
        <w:jc w:val="both"/>
        <w:rPr>
          <w:sz w:val="21"/>
          <w:szCs w:val="21"/>
        </w:rPr>
      </w:pPr>
      <w:bookmarkStart w:id="34" w:name="bookmark752"/>
      <w:bookmarkEnd w:id="34"/>
      <w:r>
        <w:rPr>
          <w:sz w:val="21"/>
          <w:szCs w:val="21"/>
        </w:rPr>
        <w:t>甲方的安健环责任</w:t>
      </w:r>
    </w:p>
    <w:p>
      <w:pPr>
        <w:pStyle w:val="61"/>
        <w:numPr>
          <w:ilvl w:val="0"/>
          <w:numId w:val="25"/>
        </w:numPr>
        <w:tabs>
          <w:tab w:val="left" w:pos="819"/>
        </w:tabs>
        <w:spacing w:line="480" w:lineRule="exact"/>
        <w:jc w:val="both"/>
        <w:rPr>
          <w:sz w:val="21"/>
          <w:szCs w:val="21"/>
          <w:lang w:eastAsia="zh-CN"/>
        </w:rPr>
      </w:pPr>
      <w:bookmarkStart w:id="35" w:name="bookmark753"/>
      <w:bookmarkEnd w:id="35"/>
      <w:r>
        <w:rPr>
          <w:sz w:val="21"/>
          <w:szCs w:val="21"/>
          <w:lang w:eastAsia="zh-CN"/>
        </w:rPr>
        <w:t>负责对乙方的资质进行审查，监督乙方对安全生产方针、政策、法规、制度的贯彻实施。</w:t>
      </w:r>
    </w:p>
    <w:p>
      <w:pPr>
        <w:pStyle w:val="61"/>
        <w:numPr>
          <w:ilvl w:val="0"/>
          <w:numId w:val="25"/>
        </w:numPr>
        <w:tabs>
          <w:tab w:val="left" w:pos="819"/>
        </w:tabs>
        <w:spacing w:line="480" w:lineRule="exact"/>
        <w:jc w:val="both"/>
        <w:rPr>
          <w:sz w:val="21"/>
          <w:szCs w:val="21"/>
          <w:lang w:eastAsia="zh-CN"/>
        </w:rPr>
      </w:pPr>
      <w:r>
        <w:rPr>
          <w:rFonts w:hint="eastAsia"/>
          <w:sz w:val="21"/>
          <w:szCs w:val="21"/>
          <w:lang w:eastAsia="zh-CN"/>
        </w:rPr>
        <w:t>严格遵守国家有关安全生产的法律法规，认真执行承包合同中的有关安全要求。</w:t>
      </w:r>
    </w:p>
    <w:p>
      <w:pPr>
        <w:pStyle w:val="61"/>
        <w:numPr>
          <w:ilvl w:val="0"/>
          <w:numId w:val="25"/>
        </w:numPr>
        <w:tabs>
          <w:tab w:val="left" w:pos="819"/>
        </w:tabs>
        <w:spacing w:line="480" w:lineRule="exact"/>
        <w:jc w:val="both"/>
        <w:rPr>
          <w:sz w:val="21"/>
          <w:szCs w:val="21"/>
          <w:lang w:eastAsia="zh-CN"/>
        </w:rPr>
      </w:pPr>
      <w:r>
        <w:rPr>
          <w:rFonts w:hint="eastAsia"/>
          <w:sz w:val="21"/>
          <w:szCs w:val="21"/>
          <w:lang w:eastAsia="zh-CN"/>
        </w:rPr>
        <w:t>成立工程项目安全管理最高机构</w:t>
      </w:r>
      <w:r>
        <w:rPr>
          <w:rFonts w:ascii="Times New Roman" w:hAnsi="Times New Roman" w:eastAsia="PMingLiU" w:cs="Times New Roman"/>
          <w:sz w:val="21"/>
          <w:szCs w:val="21"/>
          <w:lang w:eastAsia="zh-CN"/>
        </w:rPr>
        <w:t>-</w:t>
      </w:r>
      <w:r>
        <w:rPr>
          <w:rFonts w:hint="eastAsia"/>
          <w:sz w:val="21"/>
          <w:szCs w:val="21"/>
          <w:lang w:eastAsia="zh-CN"/>
        </w:rPr>
        <w:t>安全生产管理委员会，构成人员包括各参建单位的安全第一责任人。委员会下设办公室，负责日常工作。</w:t>
      </w:r>
    </w:p>
    <w:p>
      <w:pPr>
        <w:pStyle w:val="61"/>
        <w:numPr>
          <w:ilvl w:val="0"/>
          <w:numId w:val="25"/>
        </w:numPr>
        <w:tabs>
          <w:tab w:val="left" w:pos="819"/>
        </w:tabs>
        <w:spacing w:line="480" w:lineRule="exact"/>
        <w:jc w:val="both"/>
        <w:rPr>
          <w:sz w:val="21"/>
          <w:szCs w:val="21"/>
          <w:lang w:eastAsia="zh-CN"/>
        </w:rPr>
      </w:pPr>
      <w:r>
        <w:rPr>
          <w:rFonts w:hint="eastAsia"/>
          <w:sz w:val="21"/>
          <w:szCs w:val="21"/>
          <w:lang w:eastAsia="zh-CN"/>
        </w:rPr>
        <w:t>按照</w:t>
      </w:r>
      <w:r>
        <w:rPr>
          <w:rFonts w:ascii="Times New Roman" w:hAnsi="Times New Roman" w:cs="Times New Roman"/>
          <w:sz w:val="21"/>
          <w:szCs w:val="21"/>
          <w:lang w:eastAsia="zh-CN"/>
        </w:rPr>
        <w:t>“</w:t>
      </w:r>
      <w:r>
        <w:rPr>
          <w:rFonts w:hint="eastAsia"/>
          <w:sz w:val="21"/>
          <w:szCs w:val="21"/>
          <w:lang w:eastAsia="zh-CN"/>
        </w:rPr>
        <w:t>安全第一、预防为主</w:t>
      </w:r>
      <w:r>
        <w:rPr>
          <w:rFonts w:ascii="Times New Roman" w:hAnsi="Times New Roman" w:cs="Times New Roman"/>
          <w:sz w:val="21"/>
          <w:szCs w:val="21"/>
          <w:lang w:eastAsia="zh-CN"/>
        </w:rPr>
        <w:t>”</w:t>
      </w:r>
      <w:r>
        <w:rPr>
          <w:rFonts w:hint="eastAsia"/>
          <w:sz w:val="21"/>
          <w:szCs w:val="21"/>
          <w:lang w:eastAsia="zh-CN"/>
        </w:rPr>
        <w:t>和坚持</w:t>
      </w:r>
      <w:r>
        <w:rPr>
          <w:rFonts w:ascii="Times New Roman" w:hAnsi="Times New Roman" w:cs="Times New Roman"/>
          <w:sz w:val="21"/>
          <w:szCs w:val="21"/>
          <w:lang w:eastAsia="zh-CN"/>
        </w:rPr>
        <w:t>“</w:t>
      </w:r>
      <w:r>
        <w:rPr>
          <w:rFonts w:hint="eastAsia"/>
          <w:sz w:val="21"/>
          <w:szCs w:val="21"/>
          <w:lang w:eastAsia="zh-CN"/>
        </w:rPr>
        <w:t>管生产必须管安全</w:t>
      </w:r>
      <w:r>
        <w:rPr>
          <w:rFonts w:ascii="Times New Roman" w:hAnsi="Times New Roman" w:cs="Times New Roman"/>
          <w:sz w:val="21"/>
          <w:szCs w:val="21"/>
          <w:lang w:eastAsia="zh-CN"/>
        </w:rPr>
        <w:t>”</w:t>
      </w:r>
      <w:r>
        <w:rPr>
          <w:rFonts w:hint="eastAsia"/>
          <w:sz w:val="21"/>
          <w:szCs w:val="21"/>
          <w:lang w:eastAsia="zh-CN"/>
        </w:rPr>
        <w:t>的原则进行安全生产管理，做到生产与安全工作同时计划、布置、检查、总结和评比。</w:t>
      </w:r>
    </w:p>
    <w:p>
      <w:pPr>
        <w:pStyle w:val="61"/>
        <w:numPr>
          <w:ilvl w:val="0"/>
          <w:numId w:val="25"/>
        </w:numPr>
        <w:tabs>
          <w:tab w:val="left" w:pos="819"/>
        </w:tabs>
        <w:spacing w:line="480" w:lineRule="exact"/>
        <w:jc w:val="both"/>
        <w:rPr>
          <w:sz w:val="21"/>
          <w:szCs w:val="21"/>
          <w:lang w:eastAsia="zh-CN"/>
        </w:rPr>
      </w:pPr>
      <w:r>
        <w:rPr>
          <w:rFonts w:hint="eastAsia"/>
          <w:sz w:val="21"/>
          <w:szCs w:val="21"/>
          <w:lang w:eastAsia="zh-CN"/>
        </w:rPr>
        <w:t>按照国家、行业、地方要求编制工程项目安全管理制度，指导各参建单位进行安全管理活动。</w:t>
      </w:r>
    </w:p>
    <w:p>
      <w:pPr>
        <w:pStyle w:val="61"/>
        <w:numPr>
          <w:ilvl w:val="0"/>
          <w:numId w:val="25"/>
        </w:numPr>
        <w:tabs>
          <w:tab w:val="left" w:pos="819"/>
        </w:tabs>
        <w:spacing w:line="480" w:lineRule="exact"/>
        <w:ind w:firstLine="480"/>
        <w:jc w:val="both"/>
        <w:rPr>
          <w:sz w:val="21"/>
          <w:szCs w:val="21"/>
          <w:lang w:eastAsia="zh-CN"/>
        </w:rPr>
      </w:pPr>
      <w:r>
        <w:rPr>
          <w:rFonts w:hint="eastAsia"/>
          <w:sz w:val="21"/>
          <w:szCs w:val="21"/>
          <w:lang w:eastAsia="zh-CN"/>
        </w:rPr>
        <w:t>建立健全安全生产应急响应和事故处置机制，组织制定工程项目的各类安全应急预案，并按计划组织培训和演练；监督乙方建立健全应急管理和救援体系，督促乙方制定工程项目的各类安全应急预案，并按计划组织培训和演练。协调各参建单位和外部应急力量处理突发事件的应急抢险和事故救援。</w:t>
      </w:r>
    </w:p>
    <w:p>
      <w:pPr>
        <w:pStyle w:val="61"/>
        <w:numPr>
          <w:ilvl w:val="0"/>
          <w:numId w:val="25"/>
        </w:numPr>
        <w:tabs>
          <w:tab w:val="left" w:pos="819"/>
        </w:tabs>
        <w:spacing w:line="480" w:lineRule="exact"/>
        <w:ind w:firstLine="480"/>
        <w:jc w:val="both"/>
        <w:rPr>
          <w:sz w:val="21"/>
          <w:szCs w:val="21"/>
          <w:lang w:eastAsia="zh-CN"/>
        </w:rPr>
      </w:pPr>
      <w:r>
        <w:rPr>
          <w:rFonts w:hint="eastAsia"/>
          <w:sz w:val="21"/>
          <w:szCs w:val="21"/>
          <w:lang w:eastAsia="zh-CN"/>
        </w:rPr>
        <w:t>对本工程项目负安全生产全面管理责任，具体内容包括：</w:t>
      </w:r>
    </w:p>
    <w:p>
      <w:pPr>
        <w:pStyle w:val="61"/>
        <w:tabs>
          <w:tab w:val="left" w:pos="819"/>
        </w:tabs>
        <w:spacing w:line="480" w:lineRule="exact"/>
        <w:ind w:left="480" w:firstLine="0"/>
        <w:jc w:val="both"/>
        <w:rPr>
          <w:sz w:val="21"/>
          <w:szCs w:val="21"/>
          <w:lang w:val="en-US" w:eastAsia="zh-CN"/>
        </w:rPr>
      </w:pPr>
      <w:r>
        <w:rPr>
          <w:rFonts w:hint="eastAsia"/>
          <w:sz w:val="21"/>
          <w:szCs w:val="21"/>
          <w:lang w:val="en-US" w:eastAsia="zh-CN"/>
        </w:rPr>
        <w:t>（</w:t>
      </w:r>
      <w:r>
        <w:rPr>
          <w:sz w:val="21"/>
          <w:szCs w:val="21"/>
          <w:lang w:val="en-US" w:eastAsia="zh-CN"/>
        </w:rPr>
        <w:t>1</w:t>
      </w:r>
      <w:r>
        <w:rPr>
          <w:rFonts w:hint="eastAsia"/>
          <w:sz w:val="21"/>
          <w:szCs w:val="21"/>
          <w:lang w:val="en-US" w:eastAsia="zh-CN"/>
        </w:rPr>
        <w:t>）建立健全安全生产组织和管理机制，负责本工程建设的安全生产组织、协调、监督职责；</w:t>
      </w:r>
    </w:p>
    <w:p>
      <w:pPr>
        <w:pStyle w:val="61"/>
        <w:tabs>
          <w:tab w:val="left" w:pos="819"/>
        </w:tabs>
        <w:spacing w:line="480" w:lineRule="exact"/>
        <w:ind w:left="480" w:firstLine="0"/>
        <w:jc w:val="both"/>
        <w:rPr>
          <w:sz w:val="21"/>
          <w:szCs w:val="21"/>
          <w:lang w:val="en-US" w:eastAsia="zh-CN"/>
        </w:rPr>
      </w:pPr>
      <w:r>
        <w:rPr>
          <w:rFonts w:hint="eastAsia"/>
          <w:sz w:val="21"/>
          <w:szCs w:val="21"/>
          <w:lang w:val="en-US" w:eastAsia="zh-CN"/>
        </w:rPr>
        <w:t>（</w:t>
      </w:r>
      <w:r>
        <w:rPr>
          <w:sz w:val="21"/>
          <w:szCs w:val="21"/>
          <w:lang w:val="en-US" w:eastAsia="zh-CN"/>
        </w:rPr>
        <w:t>2</w:t>
      </w:r>
      <w:r>
        <w:rPr>
          <w:rFonts w:hint="eastAsia"/>
          <w:sz w:val="21"/>
          <w:szCs w:val="21"/>
          <w:lang w:val="en-US" w:eastAsia="zh-CN"/>
        </w:rPr>
        <w:t>）建立健全安全生产监督检查和隐患排查治理机制，实施施工现场全过程安全生产管理；</w:t>
      </w:r>
    </w:p>
    <w:p>
      <w:pPr>
        <w:pStyle w:val="61"/>
        <w:tabs>
          <w:tab w:val="left" w:pos="819"/>
        </w:tabs>
        <w:spacing w:line="480" w:lineRule="exact"/>
        <w:ind w:left="480" w:firstLine="0"/>
        <w:jc w:val="both"/>
        <w:rPr>
          <w:sz w:val="21"/>
          <w:szCs w:val="21"/>
          <w:lang w:val="en-US" w:eastAsia="zh-CN"/>
        </w:rPr>
      </w:pPr>
      <w:r>
        <w:rPr>
          <w:rFonts w:hint="eastAsia"/>
          <w:sz w:val="21"/>
          <w:szCs w:val="21"/>
          <w:lang w:val="en-US" w:eastAsia="zh-CN"/>
        </w:rPr>
        <w:t>（</w:t>
      </w:r>
      <w:r>
        <w:rPr>
          <w:sz w:val="21"/>
          <w:szCs w:val="21"/>
          <w:lang w:val="en-US" w:eastAsia="zh-CN"/>
        </w:rPr>
        <w:t>3</w:t>
      </w:r>
      <w:r>
        <w:rPr>
          <w:rFonts w:hint="eastAsia"/>
          <w:sz w:val="21"/>
          <w:szCs w:val="21"/>
          <w:lang w:val="en-US" w:eastAsia="zh-CN"/>
        </w:rPr>
        <w:t>）建立健全安全生产应急响应和事故处置机制，实施突发事件应急抢险和事故救援；</w:t>
      </w:r>
    </w:p>
    <w:p>
      <w:pPr>
        <w:pStyle w:val="61"/>
        <w:tabs>
          <w:tab w:val="left" w:pos="819"/>
        </w:tabs>
        <w:spacing w:line="480" w:lineRule="exact"/>
        <w:ind w:left="480" w:firstLine="0"/>
        <w:jc w:val="both"/>
        <w:rPr>
          <w:sz w:val="21"/>
          <w:szCs w:val="21"/>
          <w:lang w:val="en-US" w:eastAsia="zh-CN"/>
        </w:rPr>
      </w:pPr>
      <w:r>
        <w:rPr>
          <w:rFonts w:hint="eastAsia"/>
          <w:sz w:val="21"/>
          <w:szCs w:val="21"/>
          <w:lang w:val="en-US" w:eastAsia="zh-CN"/>
        </w:rPr>
        <w:t>（</w:t>
      </w:r>
      <w:r>
        <w:rPr>
          <w:sz w:val="21"/>
          <w:szCs w:val="21"/>
          <w:lang w:val="en-US" w:eastAsia="zh-CN"/>
        </w:rPr>
        <w:t>4</w:t>
      </w:r>
      <w:r>
        <w:rPr>
          <w:rFonts w:hint="eastAsia"/>
          <w:sz w:val="21"/>
          <w:szCs w:val="21"/>
          <w:lang w:val="en-US" w:eastAsia="zh-CN"/>
        </w:rPr>
        <w:t>）建立本工程项目应急管理体系，编制应急综合预案，组织各参建单位制定各类安全事故应急预案，落实应急组织、程序、资源及措施，定期组织演练，建立与国家有关部门、地方政府应急体系的协调联动机制，确保应急工作有效实施；</w:t>
      </w:r>
    </w:p>
    <w:p>
      <w:pPr>
        <w:pStyle w:val="61"/>
        <w:tabs>
          <w:tab w:val="left" w:pos="819"/>
        </w:tabs>
        <w:spacing w:line="480" w:lineRule="exact"/>
        <w:ind w:left="480" w:firstLine="0"/>
        <w:jc w:val="both"/>
        <w:rPr>
          <w:sz w:val="21"/>
          <w:szCs w:val="21"/>
          <w:lang w:val="en-US" w:eastAsia="zh-CN"/>
        </w:rPr>
      </w:pPr>
      <w:r>
        <w:rPr>
          <w:rFonts w:hint="eastAsia"/>
          <w:sz w:val="21"/>
          <w:szCs w:val="21"/>
          <w:lang w:val="en-US" w:eastAsia="zh-CN"/>
        </w:rPr>
        <w:t>（</w:t>
      </w:r>
      <w:r>
        <w:rPr>
          <w:sz w:val="21"/>
          <w:szCs w:val="21"/>
          <w:lang w:val="en-US" w:eastAsia="zh-CN"/>
        </w:rPr>
        <w:t>5</w:t>
      </w:r>
      <w:r>
        <w:rPr>
          <w:rFonts w:hint="eastAsia"/>
          <w:sz w:val="21"/>
          <w:szCs w:val="21"/>
          <w:lang w:val="en-US" w:eastAsia="zh-CN"/>
        </w:rPr>
        <w:t>）及时协调和解决影响安全生产重大问题。</w:t>
      </w:r>
    </w:p>
    <w:p>
      <w:pPr>
        <w:pStyle w:val="61"/>
        <w:numPr>
          <w:ilvl w:val="0"/>
          <w:numId w:val="25"/>
        </w:numPr>
        <w:tabs>
          <w:tab w:val="left" w:pos="838"/>
        </w:tabs>
        <w:spacing w:line="482" w:lineRule="exact"/>
        <w:ind w:firstLine="480"/>
        <w:jc w:val="both"/>
        <w:rPr>
          <w:sz w:val="21"/>
          <w:szCs w:val="21"/>
          <w:lang w:eastAsia="zh-CN"/>
        </w:rPr>
      </w:pPr>
      <w:bookmarkStart w:id="36" w:name="bookmark754"/>
      <w:bookmarkEnd w:id="36"/>
      <w:r>
        <w:rPr>
          <w:sz w:val="21"/>
          <w:szCs w:val="21"/>
          <w:lang w:eastAsia="zh-CN"/>
        </w:rPr>
        <w:t>甲方对有关人员在进入施工现场前的安全措施有审批权，并监督检查执行情况。</w:t>
      </w:r>
      <w:r>
        <w:rPr>
          <w:rFonts w:hint="eastAsia"/>
          <w:sz w:val="21"/>
          <w:szCs w:val="21"/>
          <w:lang w:eastAsia="zh-CN"/>
        </w:rPr>
        <w:t>对乙方制定的施工组织措施、技术措施、安全措施（简称三措）以及施工组织设计、作业指导书、安全专项方案、安健环计划、工程建设安全风险辨识及预防控制措施有权组织审查和备案，对满足本工程安全施工的开工条件进行核查，审核乙方开工报告，协助乙方办理工程开工许可手续。</w:t>
      </w:r>
    </w:p>
    <w:p>
      <w:pPr>
        <w:pStyle w:val="61"/>
        <w:numPr>
          <w:ilvl w:val="0"/>
          <w:numId w:val="25"/>
        </w:numPr>
        <w:tabs>
          <w:tab w:val="left" w:pos="838"/>
        </w:tabs>
        <w:spacing w:line="482" w:lineRule="exact"/>
        <w:ind w:firstLine="480"/>
        <w:jc w:val="both"/>
        <w:rPr>
          <w:sz w:val="21"/>
          <w:szCs w:val="21"/>
          <w:lang w:eastAsia="zh-CN"/>
        </w:rPr>
      </w:pPr>
      <w:r>
        <w:rPr>
          <w:rFonts w:hint="eastAsia"/>
          <w:sz w:val="21"/>
          <w:szCs w:val="21"/>
          <w:lang w:eastAsia="zh-CN"/>
        </w:rPr>
        <w:t>甲方开工前应组织对乙方主要负责人和管理人员进行针对与本工程相关内容的安全技术交底，并要求乙方对危险区域和项目进行风险分析，制定安全措施，经乙方安全技术负责人批准，报甲方工程技术部门安监部门和监理单位审核同意后监督实施，甲方的安全交底不取代乙方的任何安全教育。</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甲方应明确各方职业卫生管理责任，提出职业卫生管理要求，对乙方职业健康检查和个体防护用品等方面进行检查，并对职业健康监护档案予以存档。</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安监）人员有权利检查、监督乙方执行有关安全生产、文明施工、职业卫生、劳动保护、环境保护的法律、法规、条例、标准、规程、规范、规定、制度以及相关要求，并监督检查和处理工程施工中有关的安全文明施工工作，预防事故发生。</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有权要求乙方做好安全文明生产工作，履行交通、防火、健康、环保、治安管理的义务。当乙方出现安全、文明施工严重失控情况下，甲方有权按《建设工程安全生产管理条例》和《电力建设安全生产监督管理办法》等法律、法规、条例、标准、规程、规范、规定、制度相关要求及招标文件、合同和甲方的管理体系文件、本协议相关条款的要求，作出停工整顿，限期整改、直到清退出场的决定。</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有权对乙方的不履行安全协议书的不作为行为处以罚款。对于不胜任、不服从甲方现场安全管理的人员及其他不具备本规范要求的作业人员，甲方有权要求乙方对相关人员做出清退、更换处理，乙方必须按要求执行。</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甲方有权对乙方的施工机械、车辆、设施装置、工器具、仪表等进行检查，对于不符全安全、健康、环保要求的有权要求作退场处理。</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由甲方提供的机械设备、安全设施，在安装完毕提交使用前，甲方应配合乙方共同按规定验收，并做好验收及交付使用的书面手续。</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甲方要求并协助乙方组织深圳能源集团有关安全管理体系文件的相关内容培训，保证其标准在施工过程中运用，满足安全施工要求。</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本工程必须贯彻先订合同、安全协议和施工企业安全资格审查等国家、行业及《基本建设安全管理体系》所要求的审查项目后，再开工的原则。</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甲方要求乙方项目开工前，进行安全文明施工（二次）策划，策划要符合《基本建设本质安全管理体系》相关规定，需经甲方和监理方审定确认后按照策划进行实施。</w:t>
      </w:r>
    </w:p>
    <w:p>
      <w:pPr>
        <w:pStyle w:val="61"/>
        <w:numPr>
          <w:ilvl w:val="0"/>
          <w:numId w:val="25"/>
        </w:numPr>
        <w:tabs>
          <w:tab w:val="left" w:pos="838"/>
        </w:tabs>
        <w:spacing w:line="482" w:lineRule="exact"/>
        <w:jc w:val="both"/>
        <w:rPr>
          <w:sz w:val="21"/>
          <w:szCs w:val="21"/>
          <w:lang w:eastAsia="zh-CN"/>
        </w:rPr>
      </w:pPr>
      <w:r>
        <w:rPr>
          <w:rFonts w:hint="eastAsia"/>
          <w:sz w:val="21"/>
          <w:szCs w:val="21"/>
          <w:lang w:eastAsia="zh-CN"/>
        </w:rPr>
        <w:t>现场垃圾废料及弃土的处理，由甲方指定区域（规划区域），乙方应按甲方相关规定进行处理，严禁出现乱堆、乱倒垃圾及弃土现象。</w:t>
      </w:r>
    </w:p>
    <w:p>
      <w:pPr>
        <w:pStyle w:val="61"/>
        <w:numPr>
          <w:ilvl w:val="0"/>
          <w:numId w:val="25"/>
        </w:numPr>
        <w:tabs>
          <w:tab w:val="left" w:pos="838"/>
        </w:tabs>
        <w:spacing w:line="482" w:lineRule="exact"/>
        <w:ind w:firstLine="480"/>
        <w:jc w:val="both"/>
        <w:rPr>
          <w:sz w:val="21"/>
          <w:szCs w:val="21"/>
          <w:lang w:eastAsia="zh-CN"/>
        </w:rPr>
      </w:pPr>
      <w:r>
        <w:rPr>
          <w:rFonts w:hint="eastAsia"/>
          <w:sz w:val="21"/>
          <w:szCs w:val="21"/>
          <w:lang w:eastAsia="zh-CN"/>
        </w:rPr>
        <w:t>甲方在安全文明施工管理中具有下列权利（不限于下列条款）：</w:t>
      </w:r>
    </w:p>
    <w:p>
      <w:pPr>
        <w:pStyle w:val="61"/>
        <w:tabs>
          <w:tab w:val="left" w:pos="838"/>
        </w:tabs>
        <w:spacing w:line="482" w:lineRule="exact"/>
        <w:ind w:left="480" w:firstLine="0"/>
        <w:jc w:val="both"/>
        <w:rPr>
          <w:sz w:val="21"/>
          <w:szCs w:val="21"/>
          <w:lang w:val="en-US" w:eastAsia="zh-CN"/>
        </w:rPr>
      </w:pPr>
      <w:r>
        <w:rPr>
          <w:sz w:val="21"/>
          <w:szCs w:val="21"/>
          <w:lang w:val="en-US" w:eastAsia="zh-CN"/>
        </w:rPr>
        <w:t>20.1</w:t>
      </w:r>
      <w:r>
        <w:rPr>
          <w:rFonts w:hint="eastAsia"/>
          <w:sz w:val="21"/>
          <w:szCs w:val="21"/>
          <w:lang w:val="en-US" w:eastAsia="zh-CN"/>
        </w:rPr>
        <w:t>负责工程建设安全工作的总体管理和监督，对工程建设中的安全健康与环境工作进行全面监督、管理；</w:t>
      </w:r>
    </w:p>
    <w:p>
      <w:pPr>
        <w:pStyle w:val="61"/>
        <w:tabs>
          <w:tab w:val="left" w:pos="838"/>
        </w:tabs>
        <w:spacing w:line="482" w:lineRule="exact"/>
        <w:ind w:left="480" w:firstLine="0"/>
        <w:jc w:val="both"/>
        <w:rPr>
          <w:sz w:val="21"/>
          <w:szCs w:val="21"/>
          <w:lang w:val="en-US" w:eastAsia="zh-CN"/>
        </w:rPr>
      </w:pPr>
      <w:r>
        <w:rPr>
          <w:sz w:val="21"/>
          <w:szCs w:val="21"/>
          <w:lang w:val="en-US" w:eastAsia="zh-CN"/>
        </w:rPr>
        <w:t>20.2</w:t>
      </w:r>
      <w:r>
        <w:rPr>
          <w:rFonts w:hint="eastAsia"/>
          <w:sz w:val="21"/>
          <w:szCs w:val="21"/>
          <w:lang w:val="en-US" w:eastAsia="zh-CN"/>
        </w:rPr>
        <w:t>委托监理代表甲方对现场的安全文明施工行使安全监督、管理职责，乙方必须接受监理的监督和管理；</w:t>
      </w:r>
    </w:p>
    <w:p>
      <w:pPr>
        <w:pStyle w:val="61"/>
        <w:tabs>
          <w:tab w:val="left" w:pos="838"/>
        </w:tabs>
        <w:spacing w:line="482" w:lineRule="exact"/>
        <w:ind w:left="480" w:firstLine="0"/>
        <w:jc w:val="both"/>
        <w:rPr>
          <w:sz w:val="21"/>
          <w:szCs w:val="21"/>
          <w:lang w:val="en-US" w:eastAsia="zh-CN"/>
        </w:rPr>
      </w:pPr>
      <w:r>
        <w:rPr>
          <w:sz w:val="21"/>
          <w:szCs w:val="21"/>
          <w:lang w:val="en-US" w:eastAsia="zh-CN"/>
        </w:rPr>
        <w:t>20.3</w:t>
      </w:r>
      <w:r>
        <w:rPr>
          <w:rFonts w:hint="eastAsia"/>
          <w:sz w:val="21"/>
          <w:szCs w:val="21"/>
          <w:lang w:val="en-US" w:eastAsia="zh-CN"/>
        </w:rPr>
        <w:t>监督乙方建立健全安全保证体系和安全监督体系；</w:t>
      </w:r>
    </w:p>
    <w:p>
      <w:pPr>
        <w:pStyle w:val="61"/>
        <w:tabs>
          <w:tab w:val="left" w:pos="838"/>
        </w:tabs>
        <w:spacing w:line="482" w:lineRule="exact"/>
        <w:ind w:left="480" w:firstLine="0"/>
        <w:jc w:val="both"/>
        <w:rPr>
          <w:sz w:val="21"/>
          <w:szCs w:val="21"/>
          <w:lang w:val="en-US" w:eastAsia="zh-CN"/>
        </w:rPr>
      </w:pPr>
      <w:r>
        <w:rPr>
          <w:sz w:val="21"/>
          <w:szCs w:val="21"/>
          <w:lang w:val="en-US" w:eastAsia="zh-CN"/>
        </w:rPr>
        <w:t>20.4</w:t>
      </w:r>
      <w:r>
        <w:rPr>
          <w:rFonts w:hint="eastAsia"/>
          <w:sz w:val="21"/>
          <w:szCs w:val="21"/>
          <w:lang w:val="en-US" w:eastAsia="zh-CN"/>
        </w:rPr>
        <w:t>负责定期或不定期对乙方进行安全检查并监督整改；</w:t>
      </w:r>
    </w:p>
    <w:p>
      <w:pPr>
        <w:pStyle w:val="61"/>
        <w:tabs>
          <w:tab w:val="left" w:pos="838"/>
        </w:tabs>
        <w:spacing w:line="482" w:lineRule="exact"/>
        <w:ind w:left="480" w:firstLine="0"/>
        <w:jc w:val="both"/>
        <w:rPr>
          <w:sz w:val="21"/>
          <w:szCs w:val="21"/>
          <w:lang w:val="en-US" w:eastAsia="zh-CN"/>
        </w:rPr>
      </w:pPr>
      <w:r>
        <w:rPr>
          <w:sz w:val="21"/>
          <w:szCs w:val="21"/>
          <w:lang w:val="en-US" w:eastAsia="zh-CN"/>
        </w:rPr>
        <w:t>20.5</w:t>
      </w:r>
      <w:r>
        <w:rPr>
          <w:rFonts w:hint="eastAsia"/>
          <w:sz w:val="21"/>
          <w:szCs w:val="21"/>
          <w:lang w:val="en-US" w:eastAsia="zh-CN"/>
        </w:rPr>
        <w:t>按照有关规定对乙方安全工作进行监督和考评，并有权制止乙方人员的违章行为。</w:t>
      </w:r>
    </w:p>
    <w:p>
      <w:pPr>
        <w:pStyle w:val="61"/>
        <w:numPr>
          <w:ilvl w:val="0"/>
          <w:numId w:val="25"/>
        </w:numPr>
        <w:tabs>
          <w:tab w:val="left" w:pos="834"/>
        </w:tabs>
        <w:spacing w:line="475" w:lineRule="exact"/>
        <w:ind w:firstLine="480"/>
        <w:jc w:val="both"/>
        <w:rPr>
          <w:sz w:val="21"/>
          <w:szCs w:val="21"/>
          <w:lang w:eastAsia="zh-CN"/>
        </w:rPr>
      </w:pPr>
      <w:bookmarkStart w:id="37" w:name="bookmark755"/>
      <w:bookmarkEnd w:id="37"/>
      <w:r>
        <w:rPr>
          <w:rFonts w:hint="eastAsia"/>
          <w:sz w:val="21"/>
          <w:szCs w:val="21"/>
          <w:lang w:eastAsia="zh-CN"/>
        </w:rPr>
        <w:t>在工程概算中单独计列安全生产费用，不得在投标中列入竞争性报价。根据工程进展情况，及时、足额向乙方支付安全生产费用。</w:t>
      </w:r>
    </w:p>
    <w:p>
      <w:pPr>
        <w:pStyle w:val="61"/>
        <w:numPr>
          <w:ilvl w:val="0"/>
          <w:numId w:val="25"/>
        </w:numPr>
        <w:tabs>
          <w:tab w:val="left" w:pos="834"/>
        </w:tabs>
        <w:spacing w:line="475" w:lineRule="exact"/>
        <w:ind w:firstLine="480"/>
        <w:jc w:val="both"/>
        <w:rPr>
          <w:sz w:val="21"/>
          <w:szCs w:val="21"/>
          <w:lang w:eastAsia="zh-CN"/>
        </w:rPr>
      </w:pPr>
      <w:r>
        <w:rPr>
          <w:rFonts w:hint="eastAsia"/>
          <w:sz w:val="21"/>
          <w:szCs w:val="21"/>
          <w:lang w:eastAsia="zh-CN"/>
        </w:rPr>
        <w:t>组织或委托监理单位对乙方施工现场进行安全生产检查，监督乙方及时处理整改发现的各种安全隐患，如果乙方多次未按甲方要求进行整改或拒不整改的，甲方将委托第三方代替乙方进行整改，整改费用从乙方施工合同款中扣除，并在安全绩效管理中予以相应考核，委托整改、考核不免除乙方任何责任。</w:t>
      </w:r>
    </w:p>
    <w:p>
      <w:pPr>
        <w:pStyle w:val="61"/>
        <w:numPr>
          <w:ilvl w:val="0"/>
          <w:numId w:val="25"/>
        </w:numPr>
        <w:tabs>
          <w:tab w:val="left" w:pos="834"/>
        </w:tabs>
        <w:spacing w:line="482" w:lineRule="exact"/>
        <w:ind w:firstLine="480"/>
        <w:jc w:val="both"/>
        <w:rPr>
          <w:sz w:val="21"/>
          <w:szCs w:val="21"/>
          <w:lang w:eastAsia="zh-CN"/>
        </w:rPr>
      </w:pPr>
      <w:r>
        <w:rPr>
          <w:sz w:val="21"/>
          <w:szCs w:val="21"/>
          <w:lang w:eastAsia="zh-CN"/>
        </w:rPr>
        <w:t>乙方施工人员在施工过程中发生违章作业时，甲方有权制止，直至停止乙方的承包工作。</w:t>
      </w:r>
    </w:p>
    <w:p>
      <w:pPr>
        <w:pStyle w:val="61"/>
        <w:numPr>
          <w:ilvl w:val="0"/>
          <w:numId w:val="25"/>
        </w:numPr>
        <w:tabs>
          <w:tab w:val="left" w:pos="838"/>
        </w:tabs>
        <w:spacing w:line="475" w:lineRule="exact"/>
        <w:ind w:firstLine="480"/>
        <w:jc w:val="both"/>
        <w:rPr>
          <w:sz w:val="21"/>
          <w:szCs w:val="21"/>
          <w:lang w:eastAsia="zh-CN"/>
        </w:rPr>
      </w:pPr>
      <w:bookmarkStart w:id="38" w:name="bookmark756"/>
      <w:bookmarkEnd w:id="38"/>
      <w:r>
        <w:rPr>
          <w:sz w:val="21"/>
          <w:szCs w:val="21"/>
          <w:lang w:eastAsia="zh-CN"/>
        </w:rPr>
        <w:t>在保证安全的前提下，甲方应向乙方提供工作方便，使工程圆满完成。</w:t>
      </w:r>
    </w:p>
    <w:p>
      <w:pPr>
        <w:pStyle w:val="61"/>
        <w:numPr>
          <w:ilvl w:val="0"/>
          <w:numId w:val="25"/>
        </w:numPr>
        <w:tabs>
          <w:tab w:val="left" w:pos="834"/>
        </w:tabs>
        <w:spacing w:line="482" w:lineRule="exact"/>
        <w:ind w:firstLine="480"/>
        <w:jc w:val="both"/>
        <w:rPr>
          <w:sz w:val="21"/>
          <w:szCs w:val="21"/>
          <w:lang w:eastAsia="zh-CN"/>
        </w:rPr>
      </w:pPr>
      <w:r>
        <w:rPr>
          <w:rFonts w:hint="eastAsia"/>
          <w:sz w:val="21"/>
          <w:szCs w:val="21"/>
          <w:lang w:eastAsia="zh-CN"/>
        </w:rPr>
        <w:t>根据有关规定组织、参与事故的调查，有权对乙方造成的事故进行处罚和停工整顿，直至达到甲方要求。有权要求乙方赔偿因乙方责任事故给甲方造成的全部经济损失。</w:t>
      </w:r>
    </w:p>
    <w:p>
      <w:pPr>
        <w:pStyle w:val="61"/>
        <w:numPr>
          <w:ilvl w:val="0"/>
          <w:numId w:val="25"/>
        </w:numPr>
        <w:tabs>
          <w:tab w:val="left" w:pos="838"/>
        </w:tabs>
        <w:spacing w:after="200" w:line="475" w:lineRule="exact"/>
        <w:ind w:firstLine="480"/>
        <w:jc w:val="both"/>
        <w:rPr>
          <w:sz w:val="21"/>
          <w:szCs w:val="21"/>
          <w:lang w:eastAsia="zh-CN"/>
        </w:rPr>
      </w:pPr>
      <w:bookmarkStart w:id="39" w:name="bookmark757"/>
      <w:bookmarkEnd w:id="39"/>
      <w:r>
        <w:rPr>
          <w:sz w:val="21"/>
          <w:szCs w:val="21"/>
          <w:lang w:eastAsia="zh-CN"/>
        </w:rPr>
        <w:t>发生以下情况停工整顿，因停工造成的违约责任由乙方承担：</w:t>
      </w:r>
    </w:p>
    <w:p>
      <w:pPr>
        <w:pStyle w:val="61"/>
        <w:numPr>
          <w:ilvl w:val="0"/>
          <w:numId w:val="26"/>
        </w:numPr>
        <w:tabs>
          <w:tab w:val="left" w:pos="939"/>
        </w:tabs>
        <w:spacing w:line="413" w:lineRule="auto"/>
        <w:ind w:firstLine="480"/>
        <w:jc w:val="both"/>
        <w:rPr>
          <w:sz w:val="21"/>
          <w:szCs w:val="21"/>
        </w:rPr>
      </w:pPr>
      <w:bookmarkStart w:id="40" w:name="bookmark758"/>
      <w:bookmarkEnd w:id="40"/>
      <w:r>
        <w:rPr>
          <w:sz w:val="21"/>
          <w:szCs w:val="21"/>
        </w:rPr>
        <w:t>人身伤亡事故；</w:t>
      </w:r>
    </w:p>
    <w:p>
      <w:pPr>
        <w:pStyle w:val="61"/>
        <w:numPr>
          <w:ilvl w:val="0"/>
          <w:numId w:val="26"/>
        </w:numPr>
        <w:tabs>
          <w:tab w:val="left" w:pos="939"/>
        </w:tabs>
        <w:spacing w:line="413" w:lineRule="auto"/>
        <w:ind w:firstLine="480"/>
        <w:jc w:val="both"/>
        <w:rPr>
          <w:sz w:val="21"/>
          <w:szCs w:val="21"/>
          <w:lang w:eastAsia="zh-CN"/>
        </w:rPr>
      </w:pPr>
      <w:bookmarkStart w:id="41" w:name="bookmark759"/>
      <w:bookmarkEnd w:id="41"/>
      <w:r>
        <w:rPr>
          <w:sz w:val="21"/>
          <w:szCs w:val="21"/>
          <w:lang w:eastAsia="zh-CN"/>
        </w:rPr>
        <w:t>发生施工机械、生产主设备严重损坏事故；</w:t>
      </w:r>
    </w:p>
    <w:p>
      <w:pPr>
        <w:pStyle w:val="61"/>
        <w:numPr>
          <w:ilvl w:val="0"/>
          <w:numId w:val="26"/>
        </w:numPr>
        <w:tabs>
          <w:tab w:val="left" w:pos="939"/>
        </w:tabs>
        <w:spacing w:line="413" w:lineRule="auto"/>
        <w:ind w:firstLine="480"/>
        <w:jc w:val="both"/>
        <w:rPr>
          <w:sz w:val="21"/>
          <w:szCs w:val="21"/>
        </w:rPr>
      </w:pPr>
      <w:bookmarkStart w:id="42" w:name="bookmark760"/>
      <w:bookmarkEnd w:id="42"/>
      <w:r>
        <w:rPr>
          <w:sz w:val="21"/>
          <w:szCs w:val="21"/>
        </w:rPr>
        <w:t>发生火灾事故；</w:t>
      </w:r>
    </w:p>
    <w:p>
      <w:pPr>
        <w:pStyle w:val="61"/>
        <w:numPr>
          <w:ilvl w:val="0"/>
          <w:numId w:val="26"/>
        </w:numPr>
        <w:tabs>
          <w:tab w:val="left" w:pos="939"/>
        </w:tabs>
        <w:spacing w:line="413" w:lineRule="auto"/>
        <w:ind w:firstLine="480"/>
        <w:jc w:val="both"/>
        <w:rPr>
          <w:sz w:val="21"/>
          <w:szCs w:val="21"/>
          <w:lang w:eastAsia="zh-CN"/>
        </w:rPr>
      </w:pPr>
      <w:bookmarkStart w:id="43" w:name="bookmark761"/>
      <w:bookmarkEnd w:id="43"/>
      <w:r>
        <w:rPr>
          <w:sz w:val="21"/>
          <w:szCs w:val="21"/>
          <w:lang w:eastAsia="zh-CN"/>
        </w:rPr>
        <w:t>发生违章作业、冒险作业不听劝告的；</w:t>
      </w:r>
    </w:p>
    <w:p>
      <w:pPr>
        <w:pStyle w:val="61"/>
        <w:numPr>
          <w:ilvl w:val="0"/>
          <w:numId w:val="26"/>
        </w:numPr>
        <w:tabs>
          <w:tab w:val="left" w:pos="946"/>
        </w:tabs>
        <w:spacing w:line="413" w:lineRule="auto"/>
        <w:ind w:firstLine="480"/>
        <w:jc w:val="both"/>
        <w:rPr>
          <w:sz w:val="21"/>
          <w:szCs w:val="21"/>
          <w:lang w:eastAsia="zh-CN"/>
        </w:rPr>
      </w:pPr>
      <w:bookmarkStart w:id="44" w:name="bookmark762"/>
      <w:bookmarkEnd w:id="44"/>
      <w:r>
        <w:rPr>
          <w:sz w:val="21"/>
          <w:szCs w:val="21"/>
          <w:lang w:eastAsia="zh-CN"/>
        </w:rPr>
        <w:t>施工现场脏、</w:t>
      </w:r>
      <w:r>
        <w:rPr>
          <w:rFonts w:hint="eastAsia"/>
          <w:sz w:val="21"/>
          <w:szCs w:val="21"/>
          <w:lang w:val="en-US" w:eastAsia="zh-CN"/>
        </w:rPr>
        <w:t>乱</w:t>
      </w:r>
      <w:r>
        <w:rPr>
          <w:sz w:val="21"/>
          <w:szCs w:val="21"/>
          <w:lang w:val="en-US" w:eastAsia="zh-CN" w:bidi="en-US"/>
        </w:rPr>
        <w:t>、</w:t>
      </w:r>
      <w:r>
        <w:rPr>
          <w:sz w:val="21"/>
          <w:szCs w:val="21"/>
          <w:lang w:eastAsia="zh-CN"/>
        </w:rPr>
        <w:t>差，不能满足安全和文明施工要求的。</w:t>
      </w:r>
    </w:p>
    <w:p>
      <w:pPr>
        <w:pStyle w:val="61"/>
        <w:numPr>
          <w:ilvl w:val="0"/>
          <w:numId w:val="24"/>
        </w:numPr>
        <w:tabs>
          <w:tab w:val="left" w:pos="1254"/>
        </w:tabs>
        <w:spacing w:line="475" w:lineRule="exact"/>
        <w:ind w:firstLine="600"/>
        <w:jc w:val="both"/>
        <w:rPr>
          <w:sz w:val="21"/>
          <w:szCs w:val="21"/>
          <w:lang w:eastAsia="zh-CN"/>
        </w:rPr>
      </w:pPr>
      <w:bookmarkStart w:id="45" w:name="bookmark763"/>
      <w:bookmarkEnd w:id="45"/>
      <w:r>
        <w:rPr>
          <w:sz w:val="21"/>
          <w:szCs w:val="21"/>
          <w:lang w:eastAsia="zh-CN"/>
        </w:rPr>
        <w:t>乙方应承担的安健环责任</w:t>
      </w:r>
    </w:p>
    <w:p>
      <w:pPr>
        <w:pStyle w:val="61"/>
        <w:spacing w:line="475" w:lineRule="exact"/>
        <w:ind w:firstLine="480"/>
        <w:jc w:val="both"/>
        <w:rPr>
          <w:sz w:val="21"/>
          <w:szCs w:val="21"/>
          <w:lang w:eastAsia="zh-CN"/>
        </w:rPr>
      </w:pPr>
      <w:r>
        <w:rPr>
          <w:sz w:val="21"/>
          <w:szCs w:val="21"/>
          <w:lang w:eastAsia="zh-CN"/>
        </w:rPr>
        <w:t>乙方作为工程项目的承包单位，对工程施工过程中发生的人身伤害及设备损坏安全事故、环境污染和职业病的发生承担责任。</w:t>
      </w:r>
    </w:p>
    <w:p>
      <w:pPr>
        <w:pStyle w:val="61"/>
        <w:spacing w:after="200" w:line="475" w:lineRule="exact"/>
        <w:ind w:firstLine="480"/>
        <w:jc w:val="both"/>
        <w:rPr>
          <w:sz w:val="21"/>
          <w:szCs w:val="21"/>
          <w:lang w:eastAsia="zh-CN"/>
        </w:rPr>
      </w:pPr>
      <w:r>
        <w:rPr>
          <w:rFonts w:cs="Times New Roman"/>
          <w:sz w:val="21"/>
          <w:szCs w:val="21"/>
          <w:lang w:val="en-US" w:eastAsia="zh-CN" w:bidi="en-US"/>
        </w:rPr>
        <w:t>1.</w:t>
      </w:r>
      <w:r>
        <w:rPr>
          <w:sz w:val="21"/>
          <w:szCs w:val="21"/>
          <w:lang w:eastAsia="zh-CN"/>
        </w:rPr>
        <w:t>乙方应切实履行以下安健环责任：</w:t>
      </w:r>
    </w:p>
    <w:p>
      <w:pPr>
        <w:pStyle w:val="61"/>
        <w:numPr>
          <w:ilvl w:val="0"/>
          <w:numId w:val="27"/>
        </w:numPr>
        <w:tabs>
          <w:tab w:val="left" w:pos="939"/>
        </w:tabs>
        <w:spacing w:line="413" w:lineRule="auto"/>
        <w:ind w:firstLine="480"/>
        <w:jc w:val="both"/>
        <w:rPr>
          <w:sz w:val="21"/>
          <w:szCs w:val="21"/>
          <w:lang w:eastAsia="zh-CN"/>
        </w:rPr>
      </w:pPr>
      <w:bookmarkStart w:id="46" w:name="bookmark764"/>
      <w:bookmarkEnd w:id="46"/>
      <w:r>
        <w:rPr>
          <w:sz w:val="21"/>
          <w:szCs w:val="21"/>
          <w:lang w:eastAsia="zh-CN"/>
        </w:rPr>
        <w:t>开工前，乙方做好全面的安全技术交底，并有书面记录或资料。</w:t>
      </w:r>
      <w:r>
        <w:rPr>
          <w:rFonts w:hint="eastAsia"/>
          <w:color w:val="0000FF"/>
          <w:sz w:val="21"/>
          <w:szCs w:val="21"/>
          <w:lang w:eastAsia="zh-CN"/>
        </w:rPr>
        <w:t>必须明确安全生产三级教育要求及规定程序，对参与本项目的所有员工进行三级安全教育和定期培训，并经考试合格</w:t>
      </w:r>
      <w:r>
        <w:rPr>
          <w:color w:val="0000FF"/>
          <w:sz w:val="21"/>
          <w:szCs w:val="21"/>
          <w:lang w:eastAsia="zh-CN"/>
        </w:rPr>
        <w:t>方可</w:t>
      </w:r>
      <w:r>
        <w:rPr>
          <w:rFonts w:hint="eastAsia"/>
          <w:color w:val="0000FF"/>
          <w:sz w:val="21"/>
          <w:szCs w:val="21"/>
          <w:lang w:eastAsia="zh-CN"/>
        </w:rPr>
        <w:t>上岗；特种作业人员和相关从业人员应取得执业资格，其证件应保证有效。保证所有人员具备必要的</w:t>
      </w:r>
      <w:r>
        <w:rPr>
          <w:color w:val="0000FF"/>
          <w:sz w:val="21"/>
          <w:szCs w:val="21"/>
          <w:lang w:eastAsia="zh-CN"/>
        </w:rPr>
        <w:t>安全</w:t>
      </w:r>
      <w:r>
        <w:rPr>
          <w:rFonts w:hint="eastAsia"/>
          <w:color w:val="0000FF"/>
          <w:sz w:val="21"/>
          <w:szCs w:val="21"/>
          <w:lang w:eastAsia="zh-CN"/>
        </w:rPr>
        <w:t>知识，熟悉有关</w:t>
      </w:r>
      <w:r>
        <w:rPr>
          <w:color w:val="0000FF"/>
          <w:sz w:val="21"/>
          <w:szCs w:val="21"/>
          <w:lang w:eastAsia="zh-CN"/>
        </w:rPr>
        <w:t>安全</w:t>
      </w:r>
      <w:r>
        <w:rPr>
          <w:rFonts w:hint="eastAsia"/>
          <w:color w:val="0000FF"/>
          <w:sz w:val="21"/>
          <w:szCs w:val="21"/>
          <w:lang w:eastAsia="zh-CN"/>
        </w:rPr>
        <w:t>规章制度和安全操作规程，掌握本岗位的安全操作技能。</w:t>
      </w:r>
    </w:p>
    <w:p>
      <w:pPr>
        <w:pStyle w:val="61"/>
        <w:numPr>
          <w:ilvl w:val="0"/>
          <w:numId w:val="27"/>
        </w:numPr>
        <w:tabs>
          <w:tab w:val="left" w:pos="934"/>
        </w:tabs>
        <w:spacing w:line="475" w:lineRule="exact"/>
        <w:ind w:firstLine="480"/>
        <w:jc w:val="both"/>
        <w:rPr>
          <w:sz w:val="21"/>
          <w:szCs w:val="21"/>
          <w:lang w:eastAsia="zh-CN"/>
        </w:rPr>
      </w:pPr>
      <w:bookmarkStart w:id="47" w:name="bookmark765"/>
      <w:bookmarkEnd w:id="47"/>
      <w:r>
        <w:rPr>
          <w:sz w:val="21"/>
          <w:szCs w:val="21"/>
          <w:lang w:eastAsia="zh-CN"/>
        </w:rPr>
        <w:t>乙方所提供的承包工程要求的相关资质证明材料应真实、合法、有效。乙方的项目经理是本工程的安全第一责任人，应全面负责本工程的安健环管理工作，切实履行安健环职责。</w:t>
      </w:r>
      <w:r>
        <w:rPr>
          <w:rFonts w:hint="eastAsia"/>
          <w:color w:val="0000FF"/>
          <w:sz w:val="21"/>
          <w:szCs w:val="21"/>
          <w:lang w:eastAsia="zh-CN"/>
        </w:rPr>
        <w:t>完善安全监督管理体系，设立安全管理专门机构，专职安全管理人员应符合岗位职能要求，经建设主管部门或其他有关部门安全生产考核合格并取得安全生产考核合格证书。人员数量的配备应符合国家、行业相关规定并满足工程建设过程中安全监督管理工作的需要。组建工程项目部安委会，建立施工安全、机械安全、消防安全、交通安全专业管理网络。</w:t>
      </w:r>
    </w:p>
    <w:p>
      <w:pPr>
        <w:pStyle w:val="61"/>
        <w:numPr>
          <w:ilvl w:val="0"/>
          <w:numId w:val="27"/>
        </w:numPr>
        <w:tabs>
          <w:tab w:val="left" w:pos="927"/>
        </w:tabs>
        <w:spacing w:line="475" w:lineRule="exact"/>
        <w:ind w:firstLine="480"/>
        <w:jc w:val="both"/>
        <w:rPr>
          <w:sz w:val="21"/>
          <w:szCs w:val="21"/>
          <w:lang w:eastAsia="zh-CN"/>
        </w:rPr>
      </w:pPr>
      <w:r>
        <w:rPr>
          <w:sz w:val="21"/>
          <w:szCs w:val="21"/>
          <w:lang w:eastAsia="zh-CN"/>
        </w:rPr>
        <w:t>必须认真贯彻执行国家有关安全生产方针、政策、法规、制度。乙方必须建立安全监督机制，并配备专兼职安全监督人员，认真开展安全监督工作，并随时和甲方</w:t>
      </w:r>
      <w:bookmarkStart w:id="48" w:name="bookmark766"/>
      <w:bookmarkEnd w:id="48"/>
      <w:r>
        <w:rPr>
          <w:sz w:val="21"/>
          <w:szCs w:val="21"/>
          <w:lang w:eastAsia="zh-CN"/>
        </w:rPr>
        <w:t>互通情况，开工前应自上而下进行安全技术交底，使全体施工人员均掌握工程特点及施工安全措施。</w:t>
      </w:r>
    </w:p>
    <w:p>
      <w:pPr>
        <w:pStyle w:val="61"/>
        <w:numPr>
          <w:ilvl w:val="0"/>
          <w:numId w:val="27"/>
        </w:numPr>
        <w:tabs>
          <w:tab w:val="left" w:pos="916"/>
        </w:tabs>
        <w:spacing w:line="473" w:lineRule="exact"/>
        <w:ind w:firstLine="480"/>
        <w:jc w:val="both"/>
        <w:rPr>
          <w:sz w:val="21"/>
          <w:szCs w:val="21"/>
          <w:lang w:eastAsia="zh-CN"/>
        </w:rPr>
      </w:pPr>
      <w:bookmarkStart w:id="49" w:name="bookmark767"/>
      <w:bookmarkEnd w:id="49"/>
      <w:r>
        <w:rPr>
          <w:sz w:val="21"/>
          <w:szCs w:val="21"/>
          <w:lang w:eastAsia="zh-CN"/>
        </w:rPr>
        <w:t>严格执行安全生产纪律、安全措施和有关制度，对本单位的职工必须进行入场教育，组织学习安全操作基本知识，加强施工过程中的安全检查，并接受甲方各级安全监督检查，并限期整改。乙方各级施工现场管理人员必须认真接受和服从甲方安检人员的检查，并对检查发现的存在问题及隐患，按期认真落实整改。</w:t>
      </w:r>
    </w:p>
    <w:p>
      <w:pPr>
        <w:pStyle w:val="61"/>
        <w:numPr>
          <w:ilvl w:val="0"/>
          <w:numId w:val="27"/>
        </w:numPr>
        <w:tabs>
          <w:tab w:val="left" w:pos="924"/>
        </w:tabs>
        <w:spacing w:line="473" w:lineRule="exact"/>
        <w:ind w:firstLine="480"/>
        <w:jc w:val="both"/>
        <w:rPr>
          <w:sz w:val="21"/>
          <w:szCs w:val="21"/>
          <w:lang w:eastAsia="zh-CN"/>
        </w:rPr>
      </w:pPr>
      <w:bookmarkStart w:id="50" w:name="bookmark768"/>
      <w:bookmarkEnd w:id="50"/>
      <w:r>
        <w:rPr>
          <w:sz w:val="21"/>
          <w:szCs w:val="21"/>
          <w:lang w:eastAsia="zh-CN"/>
        </w:rPr>
        <w:t>特种(设备)作业人员必须取得政府主管部门颁发的有效资格证书，并将复印件报甲方安全监督部门(安健环部)备案才能上岗。不得将非特种作业人员充当特种作业人员上岗，由此而发生各类事故均由乙方负责。</w:t>
      </w:r>
      <w:r>
        <w:rPr>
          <w:rFonts w:hint="eastAsia"/>
          <w:color w:val="0000FF"/>
          <w:sz w:val="21"/>
          <w:szCs w:val="21"/>
          <w:lang w:eastAsia="zh-CN"/>
        </w:rPr>
        <w:t>乙方在本协议签订之日起</w:t>
      </w:r>
      <w:r>
        <w:rPr>
          <w:color w:val="0000FF"/>
          <w:sz w:val="21"/>
          <w:szCs w:val="21"/>
          <w:lang w:eastAsia="zh-CN"/>
        </w:rPr>
        <w:t>7天内向</w:t>
      </w:r>
      <w:r>
        <w:rPr>
          <w:rFonts w:hint="eastAsia"/>
          <w:color w:val="0000FF"/>
          <w:sz w:val="21"/>
          <w:szCs w:val="21"/>
          <w:lang w:val="en-US" w:eastAsia="zh-CN"/>
        </w:rPr>
        <w:t>甲方</w:t>
      </w:r>
      <w:r>
        <w:rPr>
          <w:rFonts w:hint="eastAsia"/>
          <w:color w:val="0000FF"/>
          <w:sz w:val="21"/>
          <w:szCs w:val="21"/>
          <w:lang w:eastAsia="zh-CN"/>
        </w:rPr>
        <w:t>提交项目负责人、安监人员、施工人员、特殊作业人员、安全考试和大型施工机械等台帐并办理入场相关安全手续，实行动态管理。</w:t>
      </w:r>
    </w:p>
    <w:p>
      <w:pPr>
        <w:pStyle w:val="61"/>
        <w:numPr>
          <w:ilvl w:val="0"/>
          <w:numId w:val="27"/>
        </w:numPr>
        <w:tabs>
          <w:tab w:val="left" w:pos="916"/>
        </w:tabs>
        <w:spacing w:line="473" w:lineRule="exact"/>
        <w:ind w:firstLine="480"/>
        <w:jc w:val="both"/>
        <w:rPr>
          <w:sz w:val="21"/>
          <w:szCs w:val="21"/>
          <w:lang w:eastAsia="zh-CN"/>
        </w:rPr>
      </w:pPr>
      <w:bookmarkStart w:id="51" w:name="bookmark769"/>
      <w:bookmarkEnd w:id="51"/>
      <w:r>
        <w:rPr>
          <w:sz w:val="21"/>
          <w:szCs w:val="21"/>
          <w:lang w:eastAsia="zh-CN"/>
        </w:rPr>
        <w:t>乙方对所有工作人员的身体素质，精神状况，技能水平，作业中的安全行为及工期延误负责。乙方对派出的人员，必须按规定编造名册交甲方安全监督部门，如果临时调整人员应及时造册，如果事故者和名册不符合，不论甲乙双方或另一方的原因造成事故，均由乙方负责。</w:t>
      </w:r>
    </w:p>
    <w:p>
      <w:pPr>
        <w:pStyle w:val="61"/>
        <w:numPr>
          <w:ilvl w:val="0"/>
          <w:numId w:val="27"/>
        </w:numPr>
        <w:tabs>
          <w:tab w:val="left" w:pos="916"/>
        </w:tabs>
        <w:spacing w:line="473" w:lineRule="exact"/>
        <w:ind w:firstLine="480"/>
        <w:jc w:val="both"/>
        <w:rPr>
          <w:sz w:val="21"/>
          <w:szCs w:val="21"/>
          <w:lang w:eastAsia="zh-CN"/>
        </w:rPr>
      </w:pPr>
      <w:bookmarkStart w:id="52" w:name="bookmark770"/>
      <w:bookmarkEnd w:id="52"/>
      <w:r>
        <w:rPr>
          <w:sz w:val="21"/>
          <w:szCs w:val="21"/>
          <w:lang w:eastAsia="zh-CN"/>
        </w:rPr>
        <w:t>乙方负责所属工作人员着装齐，佩戴工作标志，符合安规着装规定。乙方保证不使用未成年工和不适应现场安全施工的老、弱、病、残人员施工。乙方应保证乙方工作人员的劳动保护措施、劳动保护用品落实到位、发放并有效使用。</w:t>
      </w:r>
    </w:p>
    <w:p>
      <w:pPr>
        <w:pStyle w:val="61"/>
        <w:numPr>
          <w:ilvl w:val="0"/>
          <w:numId w:val="27"/>
        </w:numPr>
        <w:tabs>
          <w:tab w:val="left" w:pos="916"/>
        </w:tabs>
        <w:spacing w:after="180" w:line="473" w:lineRule="exact"/>
        <w:ind w:firstLine="480"/>
        <w:jc w:val="both"/>
        <w:rPr>
          <w:sz w:val="21"/>
          <w:szCs w:val="21"/>
          <w:lang w:eastAsia="zh-CN"/>
        </w:rPr>
      </w:pPr>
      <w:bookmarkStart w:id="53" w:name="bookmark771"/>
      <w:bookmarkEnd w:id="53"/>
      <w:r>
        <w:rPr>
          <w:sz w:val="21"/>
          <w:szCs w:val="21"/>
          <w:lang w:eastAsia="zh-CN"/>
        </w:rPr>
        <w:t>乙方每次开工前应对施工机械、工器具及安全防护设施、安全用具进行检查，确保符合安全规定并不超过检验周期。</w:t>
      </w:r>
    </w:p>
    <w:p>
      <w:pPr>
        <w:pStyle w:val="61"/>
        <w:numPr>
          <w:ilvl w:val="0"/>
          <w:numId w:val="27"/>
        </w:numPr>
        <w:tabs>
          <w:tab w:val="left" w:pos="928"/>
        </w:tabs>
        <w:spacing w:line="413" w:lineRule="auto"/>
        <w:ind w:firstLine="480"/>
        <w:jc w:val="both"/>
        <w:rPr>
          <w:sz w:val="21"/>
          <w:szCs w:val="21"/>
          <w:lang w:eastAsia="zh-CN"/>
        </w:rPr>
      </w:pPr>
      <w:bookmarkStart w:id="54" w:name="bookmark772"/>
      <w:bookmarkEnd w:id="54"/>
      <w:r>
        <w:rPr>
          <w:sz w:val="21"/>
          <w:szCs w:val="21"/>
          <w:lang w:eastAsia="zh-CN"/>
        </w:rPr>
        <w:t>乙方使用甲方提供的设施设备、工器具等造成损坏的，应照价赔偿。</w:t>
      </w:r>
    </w:p>
    <w:p>
      <w:pPr>
        <w:pStyle w:val="61"/>
        <w:numPr>
          <w:ilvl w:val="0"/>
          <w:numId w:val="27"/>
        </w:numPr>
        <w:tabs>
          <w:tab w:val="left" w:pos="1046"/>
        </w:tabs>
        <w:spacing w:line="474" w:lineRule="exact"/>
        <w:ind w:firstLine="480"/>
        <w:jc w:val="both"/>
        <w:rPr>
          <w:sz w:val="21"/>
          <w:szCs w:val="21"/>
          <w:lang w:eastAsia="zh-CN"/>
        </w:rPr>
      </w:pPr>
      <w:bookmarkStart w:id="55" w:name="bookmark773"/>
      <w:bookmarkEnd w:id="55"/>
      <w:r>
        <w:rPr>
          <w:sz w:val="21"/>
          <w:szCs w:val="21"/>
          <w:lang w:eastAsia="zh-CN"/>
        </w:rPr>
        <w:t>在现场施工中，必须严格执行甲方安全、文明生产(施工)规定的有关部分。进入电力生产区域内施工，还必须按规定严格执行工作票制度，乙方对甲方提出的意见必须及时整改，并接受甲方安全监督部门和工程管理部门的监督和指导。</w:t>
      </w:r>
    </w:p>
    <w:p>
      <w:pPr>
        <w:pStyle w:val="61"/>
        <w:numPr>
          <w:ilvl w:val="0"/>
          <w:numId w:val="27"/>
        </w:numPr>
        <w:tabs>
          <w:tab w:val="left" w:pos="1032"/>
        </w:tabs>
        <w:spacing w:line="474" w:lineRule="exact"/>
        <w:ind w:firstLine="480"/>
        <w:jc w:val="both"/>
        <w:rPr>
          <w:sz w:val="21"/>
          <w:szCs w:val="21"/>
          <w:lang w:eastAsia="zh-CN"/>
        </w:rPr>
      </w:pPr>
      <w:bookmarkStart w:id="56" w:name="bookmark774"/>
      <w:bookmarkEnd w:id="56"/>
      <w:r>
        <w:rPr>
          <w:sz w:val="21"/>
          <w:szCs w:val="21"/>
          <w:lang w:eastAsia="zh-CN"/>
        </w:rPr>
        <w:t>乙方必须接受甲方的监督、管理和指导。发生人身事故或危及生产运行的不安全情况，必须立即报告甲方安全监督部门和工程管理部门。</w:t>
      </w:r>
    </w:p>
    <w:p>
      <w:pPr>
        <w:pStyle w:val="61"/>
        <w:numPr>
          <w:ilvl w:val="0"/>
          <w:numId w:val="27"/>
        </w:numPr>
        <w:tabs>
          <w:tab w:val="left" w:pos="1039"/>
        </w:tabs>
        <w:spacing w:after="180" w:line="474" w:lineRule="exact"/>
        <w:ind w:firstLine="480"/>
        <w:jc w:val="both"/>
        <w:rPr>
          <w:sz w:val="21"/>
          <w:szCs w:val="21"/>
        </w:rPr>
      </w:pPr>
      <w:bookmarkStart w:id="57" w:name="bookmark775"/>
      <w:bookmarkEnd w:id="57"/>
      <w:r>
        <w:rPr>
          <w:sz w:val="21"/>
          <w:szCs w:val="21"/>
          <w:lang w:eastAsia="zh-CN"/>
        </w:rPr>
        <w:t>乙方所承担的施工(检修)项目必须编制安全措施或作业指导书，复杂的和危险性较大的工程，乙方应制定专项施工方案，经甲方审查合格后实施。</w:t>
      </w:r>
      <w:r>
        <w:rPr>
          <w:sz w:val="21"/>
          <w:szCs w:val="21"/>
        </w:rPr>
        <w:t>无安全措施和专项施工方案不允许开工。</w:t>
      </w:r>
    </w:p>
    <w:p>
      <w:pPr>
        <w:pStyle w:val="61"/>
        <w:numPr>
          <w:ilvl w:val="0"/>
          <w:numId w:val="27"/>
        </w:numPr>
        <w:tabs>
          <w:tab w:val="left" w:pos="1039"/>
        </w:tabs>
        <w:spacing w:after="180" w:line="474" w:lineRule="exact"/>
        <w:ind w:firstLine="480"/>
        <w:jc w:val="both"/>
        <w:rPr>
          <w:sz w:val="21"/>
          <w:szCs w:val="21"/>
          <w:lang w:eastAsia="zh-CN"/>
        </w:rPr>
      </w:pPr>
      <w:bookmarkStart w:id="58" w:name="bookmark776"/>
      <w:bookmarkEnd w:id="58"/>
      <w:r>
        <w:rPr>
          <w:sz w:val="21"/>
          <w:szCs w:val="21"/>
          <w:lang w:eastAsia="zh-CN"/>
        </w:rPr>
        <w:t>当危及运行设备时，乙方立即停止所有工作，立即汇报甲方工程管理部门和安全监督部门。</w:t>
      </w:r>
    </w:p>
    <w:p>
      <w:pPr>
        <w:pStyle w:val="61"/>
        <w:numPr>
          <w:ilvl w:val="0"/>
          <w:numId w:val="28"/>
        </w:numPr>
        <w:tabs>
          <w:tab w:val="left" w:pos="1057"/>
        </w:tabs>
        <w:spacing w:line="475" w:lineRule="exact"/>
        <w:ind w:firstLine="480"/>
        <w:jc w:val="both"/>
        <w:rPr>
          <w:sz w:val="21"/>
          <w:szCs w:val="21"/>
          <w:lang w:eastAsia="zh-CN"/>
        </w:rPr>
      </w:pPr>
      <w:bookmarkStart w:id="59" w:name="bookmark777"/>
      <w:bookmarkEnd w:id="59"/>
      <w:r>
        <w:rPr>
          <w:sz w:val="21"/>
          <w:szCs w:val="21"/>
          <w:lang w:eastAsia="zh-CN"/>
        </w:rPr>
        <w:t>工作中人身安全受到威胁时，乙方有责任立即处理并同时报告甲方安全监督部门和工程管理部门。</w:t>
      </w:r>
    </w:p>
    <w:p>
      <w:pPr>
        <w:pStyle w:val="61"/>
        <w:numPr>
          <w:ilvl w:val="0"/>
          <w:numId w:val="28"/>
        </w:numPr>
        <w:tabs>
          <w:tab w:val="left" w:pos="1064"/>
        </w:tabs>
        <w:spacing w:line="479" w:lineRule="exact"/>
        <w:ind w:firstLine="480"/>
        <w:jc w:val="both"/>
        <w:rPr>
          <w:sz w:val="21"/>
          <w:szCs w:val="21"/>
          <w:lang w:eastAsia="zh-CN"/>
        </w:rPr>
      </w:pPr>
      <w:bookmarkStart w:id="60" w:name="bookmark778"/>
      <w:bookmarkEnd w:id="60"/>
      <w:r>
        <w:rPr>
          <w:sz w:val="21"/>
          <w:szCs w:val="21"/>
          <w:lang w:eastAsia="zh-CN"/>
        </w:rPr>
        <w:t>由于非甲方原因而造成的人身伤亡、工期延误、设备损坏、环境污染和职业病的发生由乙方负全部责任，并妥善处理。</w:t>
      </w:r>
    </w:p>
    <w:p>
      <w:pPr>
        <w:pStyle w:val="61"/>
        <w:numPr>
          <w:ilvl w:val="0"/>
          <w:numId w:val="28"/>
        </w:numPr>
        <w:tabs>
          <w:tab w:val="left" w:pos="1057"/>
        </w:tabs>
        <w:spacing w:line="479" w:lineRule="exact"/>
        <w:ind w:firstLine="480"/>
        <w:jc w:val="both"/>
        <w:rPr>
          <w:sz w:val="21"/>
          <w:szCs w:val="21"/>
          <w:lang w:eastAsia="zh-CN"/>
        </w:rPr>
      </w:pPr>
      <w:bookmarkStart w:id="61" w:name="bookmark779"/>
      <w:bookmarkEnd w:id="61"/>
      <w:r>
        <w:rPr>
          <w:sz w:val="21"/>
          <w:szCs w:val="21"/>
          <w:lang w:eastAsia="zh-CN"/>
        </w:rPr>
        <w:t>乙方施工用水管理要求水源点配备合理，严禁现场乱接水源，杜绝现场长流水现象，要求每个用水点都要有排水渠道。</w:t>
      </w:r>
    </w:p>
    <w:p>
      <w:pPr>
        <w:pStyle w:val="61"/>
        <w:numPr>
          <w:ilvl w:val="0"/>
          <w:numId w:val="28"/>
        </w:numPr>
        <w:tabs>
          <w:tab w:val="left" w:pos="1062"/>
        </w:tabs>
        <w:spacing w:line="478" w:lineRule="exact"/>
        <w:ind w:firstLine="480"/>
        <w:jc w:val="both"/>
        <w:rPr>
          <w:sz w:val="21"/>
          <w:szCs w:val="21"/>
          <w:lang w:eastAsia="zh-CN"/>
        </w:rPr>
      </w:pPr>
      <w:bookmarkStart w:id="62" w:name="bookmark780"/>
      <w:bookmarkEnd w:id="62"/>
      <w:r>
        <w:rPr>
          <w:sz w:val="21"/>
          <w:szCs w:val="21"/>
          <w:lang w:eastAsia="zh-CN"/>
        </w:rPr>
        <w:t>乙方施工用气的管路敷设安全、规范、美观，杜绝乱拉、乱接现象。</w:t>
      </w:r>
      <w:r>
        <w:rPr>
          <w:rFonts w:hint="eastAsia"/>
          <w:color w:val="0000FF"/>
          <w:sz w:val="21"/>
          <w:szCs w:val="21"/>
          <w:lang w:eastAsia="zh-CN"/>
        </w:rPr>
        <w:t>建立消防安全责任制度，确定消防安全责任人，制定用火、用电、使用易燃易爆材料等各项消防安全管理制度和操作规程，设置消防通道、消防水源，配备消防设施和灭火器材，满足国家消防法律法规相关规定，并在施工现场入口处设置明显标志。</w:t>
      </w:r>
    </w:p>
    <w:p>
      <w:pPr>
        <w:pStyle w:val="61"/>
        <w:numPr>
          <w:ilvl w:val="0"/>
          <w:numId w:val="28"/>
        </w:numPr>
        <w:tabs>
          <w:tab w:val="left" w:pos="1057"/>
        </w:tabs>
        <w:spacing w:line="478" w:lineRule="exact"/>
        <w:ind w:firstLine="480"/>
        <w:jc w:val="both"/>
        <w:rPr>
          <w:sz w:val="21"/>
          <w:szCs w:val="21"/>
          <w:lang w:eastAsia="zh-CN"/>
        </w:rPr>
      </w:pPr>
      <w:bookmarkStart w:id="63" w:name="bookmark781"/>
      <w:bookmarkEnd w:id="63"/>
      <w:r>
        <w:rPr>
          <w:sz w:val="21"/>
          <w:szCs w:val="21"/>
          <w:lang w:eastAsia="zh-CN"/>
        </w:rPr>
        <w:t>承包方应当遵守有关环境保护法律法规，釆取环保措施，防止或者减少粉尘、废气、废水、固体废物、噪声、振动和施工照明对人员及环境的危害和污染。</w:t>
      </w:r>
    </w:p>
    <w:p>
      <w:pPr>
        <w:pStyle w:val="61"/>
        <w:numPr>
          <w:ilvl w:val="0"/>
          <w:numId w:val="28"/>
        </w:numPr>
        <w:tabs>
          <w:tab w:val="left" w:pos="1062"/>
        </w:tabs>
        <w:spacing w:line="478" w:lineRule="exact"/>
        <w:ind w:firstLine="480"/>
        <w:jc w:val="both"/>
        <w:rPr>
          <w:sz w:val="21"/>
          <w:szCs w:val="21"/>
          <w:lang w:eastAsia="zh-CN"/>
        </w:rPr>
      </w:pPr>
      <w:bookmarkStart w:id="64" w:name="bookmark782"/>
      <w:bookmarkEnd w:id="64"/>
      <w:r>
        <w:rPr>
          <w:sz w:val="21"/>
          <w:szCs w:val="21"/>
          <w:lang w:eastAsia="zh-CN"/>
        </w:rPr>
        <w:t>现场杜绝一切不带色标的设施、设备、标志、标识和一切不规范的色标。</w:t>
      </w:r>
    </w:p>
    <w:p>
      <w:pPr>
        <w:pStyle w:val="61"/>
        <w:numPr>
          <w:ilvl w:val="0"/>
          <w:numId w:val="28"/>
        </w:numPr>
        <w:tabs>
          <w:tab w:val="left" w:pos="1064"/>
        </w:tabs>
        <w:spacing w:line="478" w:lineRule="exact"/>
        <w:ind w:firstLine="480"/>
        <w:jc w:val="both"/>
        <w:rPr>
          <w:sz w:val="21"/>
          <w:szCs w:val="21"/>
          <w:lang w:eastAsia="zh-CN"/>
        </w:rPr>
      </w:pPr>
      <w:bookmarkStart w:id="65" w:name="bookmark783"/>
      <w:bookmarkEnd w:id="65"/>
      <w:r>
        <w:rPr>
          <w:sz w:val="21"/>
          <w:szCs w:val="21"/>
          <w:lang w:eastAsia="zh-CN"/>
        </w:rPr>
        <w:t>施工生活办公区统一风格，统一设计，各承包方分别建设，现场禁用石棉瓦、脚手板、模板、彩条布、油毛毡、竹笆等材料搭建工棚，禁用脚手管作为搭设工棚的构架。</w:t>
      </w:r>
    </w:p>
    <w:p>
      <w:pPr>
        <w:pStyle w:val="61"/>
        <w:numPr>
          <w:ilvl w:val="0"/>
          <w:numId w:val="28"/>
        </w:numPr>
        <w:tabs>
          <w:tab w:val="left" w:pos="1057"/>
        </w:tabs>
        <w:spacing w:line="482" w:lineRule="exact"/>
        <w:ind w:firstLine="480"/>
        <w:jc w:val="both"/>
        <w:rPr>
          <w:sz w:val="21"/>
          <w:szCs w:val="21"/>
          <w:lang w:eastAsia="zh-CN"/>
        </w:rPr>
      </w:pPr>
      <w:bookmarkStart w:id="66" w:name="bookmark784"/>
      <w:bookmarkEnd w:id="66"/>
      <w:r>
        <w:rPr>
          <w:sz w:val="21"/>
          <w:szCs w:val="21"/>
          <w:lang w:eastAsia="zh-CN"/>
        </w:rPr>
        <w:t>各模块区主要由现场环形混凝土道路、绿化带、排水明沟、浸塑钢网板、铁艺栏杆分隔而成。分隔要求按建设方安全文明策划文件执行。</w:t>
      </w:r>
    </w:p>
    <w:p>
      <w:pPr>
        <w:pStyle w:val="61"/>
        <w:numPr>
          <w:ilvl w:val="0"/>
          <w:numId w:val="28"/>
        </w:numPr>
        <w:tabs>
          <w:tab w:val="left" w:pos="1064"/>
        </w:tabs>
        <w:spacing w:line="479" w:lineRule="exact"/>
        <w:ind w:firstLine="480"/>
        <w:jc w:val="both"/>
        <w:rPr>
          <w:sz w:val="21"/>
          <w:szCs w:val="21"/>
          <w:lang w:eastAsia="zh-CN"/>
        </w:rPr>
      </w:pPr>
      <w:bookmarkStart w:id="67" w:name="bookmark785"/>
      <w:bookmarkEnd w:id="67"/>
      <w:r>
        <w:rPr>
          <w:sz w:val="21"/>
          <w:szCs w:val="21"/>
          <w:lang w:eastAsia="zh-CN"/>
        </w:rPr>
        <w:t>承包方的施工现场按照定置化管理，对施工机具、材料、设备等摆放，实行定置化、标识化，确保道路及通道的畅通。施工过程产生的建筑垃圾、落地灰、废材料随干随清运送到指定地点分类处理和管理。</w:t>
      </w:r>
    </w:p>
    <w:p>
      <w:pPr>
        <w:pStyle w:val="61"/>
        <w:numPr>
          <w:ilvl w:val="0"/>
          <w:numId w:val="28"/>
        </w:numPr>
        <w:tabs>
          <w:tab w:val="left" w:pos="1064"/>
        </w:tabs>
        <w:spacing w:line="475" w:lineRule="exact"/>
        <w:ind w:firstLine="480"/>
        <w:jc w:val="both"/>
        <w:rPr>
          <w:sz w:val="21"/>
          <w:szCs w:val="21"/>
          <w:lang w:eastAsia="zh-CN"/>
        </w:rPr>
      </w:pPr>
      <w:bookmarkStart w:id="68" w:name="bookmark786"/>
      <w:bookmarkEnd w:id="68"/>
      <w:r>
        <w:rPr>
          <w:sz w:val="21"/>
          <w:szCs w:val="21"/>
          <w:lang w:eastAsia="zh-CN"/>
        </w:rPr>
        <w:t>桩基标段承包方负责基建区域内公共道路的洒水、清扫及维护工作(按国家标准配备洒水车</w:t>
      </w:r>
      <w:r>
        <w:rPr>
          <w:rFonts w:cs="Times New Roman"/>
          <w:sz w:val="21"/>
          <w:szCs w:val="21"/>
          <w:lang w:eastAsia="zh-CN"/>
        </w:rPr>
        <w:t>1</w:t>
      </w:r>
      <w:r>
        <w:rPr>
          <w:sz w:val="21"/>
          <w:szCs w:val="21"/>
          <w:lang w:eastAsia="zh-CN"/>
        </w:rPr>
        <w:t>辆)，夏季洒水</w:t>
      </w:r>
      <w:r>
        <w:rPr>
          <w:rFonts w:cs="Times New Roman"/>
          <w:sz w:val="21"/>
          <w:szCs w:val="21"/>
          <w:lang w:eastAsia="zh-CN"/>
        </w:rPr>
        <w:t>2</w:t>
      </w:r>
      <w:r>
        <w:rPr>
          <w:rFonts w:ascii="MS Gothic" w:hAnsi="MS Gothic" w:cs="MS Gothic"/>
          <w:sz w:val="21"/>
          <w:szCs w:val="21"/>
          <w:lang w:eastAsia="zh-CN"/>
        </w:rPr>
        <w:t>〜</w:t>
      </w:r>
      <w:r>
        <w:rPr>
          <w:rFonts w:cs="Times New Roman"/>
          <w:sz w:val="21"/>
          <w:szCs w:val="21"/>
          <w:lang w:eastAsia="zh-CN"/>
        </w:rPr>
        <w:t>3</w:t>
      </w:r>
      <w:r>
        <w:rPr>
          <w:sz w:val="21"/>
          <w:szCs w:val="21"/>
          <w:lang w:eastAsia="zh-CN"/>
        </w:rPr>
        <w:t>次/天，其他季节</w:t>
      </w:r>
      <w:r>
        <w:rPr>
          <w:rFonts w:cs="Times New Roman"/>
          <w:sz w:val="21"/>
          <w:szCs w:val="21"/>
          <w:lang w:eastAsia="zh-CN"/>
        </w:rPr>
        <w:t>1</w:t>
      </w:r>
      <w:r>
        <w:rPr>
          <w:sz w:val="21"/>
          <w:szCs w:val="21"/>
          <w:lang w:eastAsia="zh-CN"/>
        </w:rPr>
        <w:t>次/天，特殊情况下增加洒水次数。其他承包方负责本责任区道路洒水、清扫工作。</w:t>
      </w:r>
    </w:p>
    <w:p>
      <w:pPr>
        <w:pStyle w:val="61"/>
        <w:numPr>
          <w:ilvl w:val="0"/>
          <w:numId w:val="28"/>
        </w:numPr>
        <w:tabs>
          <w:tab w:val="left" w:pos="1071"/>
        </w:tabs>
        <w:spacing w:line="482" w:lineRule="exact"/>
        <w:ind w:firstLine="480"/>
        <w:jc w:val="both"/>
        <w:rPr>
          <w:sz w:val="21"/>
          <w:szCs w:val="21"/>
        </w:rPr>
      </w:pPr>
      <w:bookmarkStart w:id="69" w:name="bookmark787"/>
      <w:bookmarkEnd w:id="69"/>
      <w:r>
        <w:rPr>
          <w:sz w:val="21"/>
          <w:szCs w:val="21"/>
          <w:lang w:eastAsia="zh-CN"/>
        </w:rPr>
        <w:t>承包方施工责任区内临时道路由承包方自行规划，其路面必须达到耐使用、平整、不积水、不扬尘的标准。</w:t>
      </w:r>
      <w:r>
        <w:rPr>
          <w:sz w:val="21"/>
          <w:szCs w:val="21"/>
        </w:rPr>
        <w:t>道路可采用混凝土硬化道路。</w:t>
      </w:r>
    </w:p>
    <w:p>
      <w:pPr>
        <w:pStyle w:val="61"/>
        <w:numPr>
          <w:ilvl w:val="0"/>
          <w:numId w:val="28"/>
        </w:numPr>
        <w:tabs>
          <w:tab w:val="left" w:pos="1064"/>
        </w:tabs>
        <w:spacing w:line="475" w:lineRule="exact"/>
        <w:ind w:firstLine="480"/>
        <w:jc w:val="both"/>
        <w:rPr>
          <w:sz w:val="21"/>
          <w:szCs w:val="21"/>
          <w:lang w:eastAsia="zh-CN"/>
        </w:rPr>
      </w:pPr>
      <w:bookmarkStart w:id="70" w:name="bookmark788"/>
      <w:bookmarkEnd w:id="70"/>
      <w:r>
        <w:rPr>
          <w:sz w:val="21"/>
          <w:szCs w:val="21"/>
          <w:lang w:eastAsia="zh-CN"/>
        </w:rPr>
        <w:t>现场主排水由建设单位负责，承包方负责所属范围的排水工作。施工现场主排水管道利用永久设计的排水干管作为施工阶段的排水干管，工程开工前施工完，具备通水条件，雨水通过管道汇入厂区雨水泵房后排至防洪堤外。</w:t>
      </w:r>
    </w:p>
    <w:p>
      <w:pPr>
        <w:pStyle w:val="61"/>
        <w:numPr>
          <w:ilvl w:val="0"/>
          <w:numId w:val="28"/>
        </w:numPr>
        <w:tabs>
          <w:tab w:val="left" w:pos="1069"/>
        </w:tabs>
        <w:spacing w:line="478" w:lineRule="exact"/>
        <w:ind w:firstLine="480"/>
        <w:jc w:val="both"/>
        <w:rPr>
          <w:sz w:val="21"/>
          <w:szCs w:val="21"/>
          <w:lang w:eastAsia="zh-CN"/>
        </w:rPr>
      </w:pPr>
      <w:bookmarkStart w:id="71" w:name="bookmark789"/>
      <w:bookmarkEnd w:id="71"/>
      <w:r>
        <w:rPr>
          <w:sz w:val="21"/>
          <w:szCs w:val="21"/>
          <w:lang w:eastAsia="zh-CN"/>
        </w:rPr>
        <w:t>办公区和生活区必须按建设单位要求分开设置，分区围护、隔离和绿化。</w:t>
      </w:r>
    </w:p>
    <w:p>
      <w:pPr>
        <w:pStyle w:val="61"/>
        <w:numPr>
          <w:ilvl w:val="0"/>
          <w:numId w:val="28"/>
        </w:numPr>
        <w:tabs>
          <w:tab w:val="left" w:pos="1069"/>
        </w:tabs>
        <w:spacing w:line="478" w:lineRule="exact"/>
        <w:ind w:firstLine="480"/>
        <w:jc w:val="both"/>
        <w:rPr>
          <w:sz w:val="21"/>
          <w:szCs w:val="21"/>
          <w:lang w:eastAsia="zh-CN"/>
        </w:rPr>
      </w:pPr>
      <w:bookmarkStart w:id="72" w:name="bookmark790"/>
      <w:bookmarkEnd w:id="72"/>
      <w:r>
        <w:rPr>
          <w:sz w:val="21"/>
          <w:szCs w:val="21"/>
          <w:lang w:eastAsia="zh-CN"/>
        </w:rPr>
        <w:t>办公区、生活区停车场应采用彩色草坪砖硬化或设置停车标志线。</w:t>
      </w:r>
    </w:p>
    <w:p>
      <w:pPr>
        <w:pStyle w:val="61"/>
        <w:numPr>
          <w:ilvl w:val="0"/>
          <w:numId w:val="28"/>
        </w:numPr>
        <w:tabs>
          <w:tab w:val="left" w:pos="589"/>
          <w:tab w:val="left" w:pos="1134"/>
          <w:tab w:val="left" w:pos="1276"/>
          <w:tab w:val="left" w:pos="1418"/>
        </w:tabs>
        <w:spacing w:line="478" w:lineRule="exact"/>
        <w:ind w:firstLine="480"/>
        <w:jc w:val="both"/>
        <w:rPr>
          <w:sz w:val="21"/>
          <w:szCs w:val="21"/>
        </w:rPr>
      </w:pPr>
      <w:bookmarkStart w:id="73" w:name="bookmark791"/>
      <w:bookmarkEnd w:id="73"/>
      <w:r>
        <w:rPr>
          <w:sz w:val="21"/>
          <w:szCs w:val="21"/>
          <w:lang w:eastAsia="zh-CN"/>
        </w:rPr>
        <w:t>员工食堂与食品间设施应符合卫生防疫要求，定期对饮用水及饮食卫生进行检查，预防肠道疾病的发生。</w:t>
      </w:r>
      <w:r>
        <w:rPr>
          <w:sz w:val="21"/>
          <w:szCs w:val="21"/>
        </w:rPr>
        <w:t>同时应严防食物中毒。</w:t>
      </w:r>
    </w:p>
    <w:p>
      <w:pPr>
        <w:pStyle w:val="61"/>
        <w:numPr>
          <w:ilvl w:val="0"/>
          <w:numId w:val="28"/>
        </w:numPr>
        <w:tabs>
          <w:tab w:val="left" w:pos="1064"/>
        </w:tabs>
        <w:spacing w:line="475" w:lineRule="exact"/>
        <w:ind w:firstLine="480"/>
        <w:jc w:val="both"/>
        <w:rPr>
          <w:sz w:val="21"/>
          <w:szCs w:val="21"/>
          <w:lang w:eastAsia="zh-CN"/>
        </w:rPr>
      </w:pPr>
      <w:bookmarkStart w:id="74" w:name="bookmark792"/>
      <w:bookmarkEnd w:id="74"/>
      <w:r>
        <w:rPr>
          <w:sz w:val="21"/>
          <w:szCs w:val="21"/>
          <w:lang w:eastAsia="zh-CN"/>
        </w:rPr>
        <w:t>员工食堂应配备不锈钢厨具、冰柜、消毒柜、储物柜、餐桌、餐椅以及消灭蚊、蝇、老鼠等卫生设施。</w:t>
      </w:r>
    </w:p>
    <w:p>
      <w:pPr>
        <w:pStyle w:val="61"/>
        <w:numPr>
          <w:ilvl w:val="0"/>
          <w:numId w:val="28"/>
        </w:numPr>
        <w:tabs>
          <w:tab w:val="left" w:pos="1057"/>
        </w:tabs>
        <w:spacing w:after="180" w:line="475" w:lineRule="exact"/>
        <w:ind w:firstLine="480"/>
        <w:jc w:val="both"/>
        <w:rPr>
          <w:sz w:val="21"/>
          <w:szCs w:val="21"/>
          <w:lang w:eastAsia="zh-CN"/>
        </w:rPr>
      </w:pPr>
      <w:bookmarkStart w:id="75" w:name="bookmark793"/>
      <w:bookmarkEnd w:id="75"/>
      <w:r>
        <w:rPr>
          <w:sz w:val="21"/>
          <w:szCs w:val="21"/>
          <w:lang w:eastAsia="zh-CN"/>
        </w:rPr>
        <w:t>员工宿舍应有良好的居住条件(配备空调、取暖设备)，保持通风与干净整洁，并有专项管理措施。</w:t>
      </w:r>
    </w:p>
    <w:p>
      <w:pPr>
        <w:pStyle w:val="61"/>
        <w:numPr>
          <w:ilvl w:val="0"/>
          <w:numId w:val="28"/>
        </w:numPr>
        <w:tabs>
          <w:tab w:val="left" w:pos="1069"/>
        </w:tabs>
        <w:spacing w:line="420" w:lineRule="auto"/>
        <w:ind w:firstLine="480"/>
        <w:jc w:val="both"/>
        <w:rPr>
          <w:sz w:val="21"/>
          <w:szCs w:val="21"/>
          <w:lang w:eastAsia="zh-CN"/>
        </w:rPr>
      </w:pPr>
      <w:bookmarkStart w:id="76" w:name="bookmark794"/>
      <w:bookmarkEnd w:id="76"/>
      <w:r>
        <w:rPr>
          <w:sz w:val="21"/>
          <w:szCs w:val="21"/>
          <w:lang w:eastAsia="zh-CN"/>
        </w:rPr>
        <w:t>应为员工提供较好的沐浴、盥洗设施。</w:t>
      </w:r>
    </w:p>
    <w:p>
      <w:pPr>
        <w:pStyle w:val="61"/>
        <w:numPr>
          <w:ilvl w:val="0"/>
          <w:numId w:val="28"/>
        </w:numPr>
        <w:tabs>
          <w:tab w:val="left" w:pos="1064"/>
        </w:tabs>
        <w:spacing w:line="482" w:lineRule="exact"/>
        <w:ind w:firstLine="480"/>
        <w:jc w:val="both"/>
        <w:rPr>
          <w:sz w:val="21"/>
          <w:szCs w:val="21"/>
          <w:lang w:eastAsia="zh-CN"/>
        </w:rPr>
      </w:pPr>
      <w:bookmarkStart w:id="77" w:name="bookmark795"/>
      <w:bookmarkEnd w:id="77"/>
      <w:r>
        <w:rPr>
          <w:sz w:val="21"/>
          <w:szCs w:val="21"/>
          <w:lang w:eastAsia="zh-CN"/>
        </w:rPr>
        <w:t>员工生活区应定期消毒，预防各种传染性疾病，并应有消灭蚊、蝇、老鼠的措施。</w:t>
      </w:r>
    </w:p>
    <w:p>
      <w:pPr>
        <w:pStyle w:val="61"/>
        <w:numPr>
          <w:ilvl w:val="0"/>
          <w:numId w:val="28"/>
        </w:numPr>
        <w:tabs>
          <w:tab w:val="left" w:pos="1069"/>
        </w:tabs>
        <w:spacing w:line="482" w:lineRule="exact"/>
        <w:ind w:firstLine="480"/>
        <w:jc w:val="both"/>
        <w:rPr>
          <w:sz w:val="21"/>
          <w:szCs w:val="21"/>
          <w:lang w:eastAsia="zh-CN"/>
        </w:rPr>
      </w:pPr>
      <w:bookmarkStart w:id="78" w:name="bookmark796"/>
      <w:bookmarkEnd w:id="78"/>
      <w:r>
        <w:rPr>
          <w:sz w:val="21"/>
          <w:szCs w:val="21"/>
          <w:lang w:eastAsia="zh-CN"/>
        </w:rPr>
        <w:t>员工生活区应配备有一定的文化体育娱乐设施。</w:t>
      </w:r>
    </w:p>
    <w:p>
      <w:pPr>
        <w:pStyle w:val="61"/>
        <w:numPr>
          <w:ilvl w:val="0"/>
          <w:numId w:val="28"/>
        </w:numPr>
        <w:tabs>
          <w:tab w:val="left" w:pos="1064"/>
        </w:tabs>
        <w:spacing w:line="482" w:lineRule="exact"/>
        <w:ind w:firstLine="480"/>
        <w:jc w:val="both"/>
        <w:rPr>
          <w:sz w:val="21"/>
          <w:szCs w:val="21"/>
          <w:lang w:eastAsia="zh-CN"/>
        </w:rPr>
      </w:pPr>
      <w:bookmarkStart w:id="79" w:name="bookmark797"/>
      <w:bookmarkEnd w:id="79"/>
      <w:r>
        <w:rPr>
          <w:sz w:val="21"/>
          <w:szCs w:val="21"/>
          <w:lang w:eastAsia="zh-CN"/>
        </w:rPr>
        <w:t>办公区、生活区应设置有较高卫生洁具标准的水冲式厕所，专人管理，保证厕所内无异味。</w:t>
      </w:r>
      <w:r>
        <w:rPr>
          <w:rFonts w:hint="eastAsia"/>
          <w:color w:val="0070C0"/>
          <w:sz w:val="21"/>
          <w:szCs w:val="21"/>
          <w:lang w:eastAsia="zh-CN"/>
        </w:rPr>
        <w:t>施工现场的办公、生活区与施工区应分开设置，并保持安全距离，实行模块化、区域化、定置化管理；办公、生活区的选址应当符合安全性要求。职工的膳食、饮水、休息场所等应当符合卫生标准、防疫管控要求。</w:t>
      </w:r>
    </w:p>
    <w:p>
      <w:pPr>
        <w:pStyle w:val="61"/>
        <w:numPr>
          <w:ilvl w:val="0"/>
          <w:numId w:val="28"/>
        </w:numPr>
        <w:tabs>
          <w:tab w:val="left" w:pos="1057"/>
        </w:tabs>
        <w:spacing w:line="478" w:lineRule="exact"/>
        <w:ind w:firstLine="480"/>
        <w:jc w:val="both"/>
        <w:rPr>
          <w:sz w:val="21"/>
          <w:szCs w:val="21"/>
          <w:lang w:eastAsia="zh-CN"/>
        </w:rPr>
      </w:pPr>
      <w:bookmarkStart w:id="80" w:name="bookmark798"/>
      <w:bookmarkEnd w:id="80"/>
      <w:r>
        <w:rPr>
          <w:sz w:val="21"/>
          <w:szCs w:val="21"/>
          <w:lang w:eastAsia="zh-CN"/>
        </w:rPr>
        <w:t>施工承包方必须制定措施，保障各种形式员工住宿、餐饮等生活卫生条件和劳动防护条件。实行一人一床、一被褥(蚊帐)，专人管理，定期检查，严格控制。</w:t>
      </w:r>
    </w:p>
    <w:p>
      <w:pPr>
        <w:pStyle w:val="61"/>
        <w:numPr>
          <w:ilvl w:val="0"/>
          <w:numId w:val="28"/>
        </w:numPr>
        <w:tabs>
          <w:tab w:val="left" w:pos="1064"/>
        </w:tabs>
        <w:spacing w:after="180" w:line="478" w:lineRule="exact"/>
        <w:ind w:firstLine="480"/>
        <w:jc w:val="both"/>
        <w:rPr>
          <w:sz w:val="21"/>
          <w:szCs w:val="21"/>
          <w:lang w:eastAsia="zh-CN"/>
        </w:rPr>
      </w:pPr>
      <w:bookmarkStart w:id="81" w:name="bookmark799"/>
      <w:bookmarkEnd w:id="81"/>
      <w:r>
        <w:rPr>
          <w:sz w:val="21"/>
          <w:szCs w:val="21"/>
          <w:lang w:eastAsia="zh-CN"/>
        </w:rPr>
        <w:t>混凝土搅拌站地面应全部混凝土硬化，四周用浸塑钢网板加绿化带围护封闭，站内应有绿化措施，并始终保持干净整洁。</w:t>
      </w:r>
    </w:p>
    <w:p>
      <w:pPr>
        <w:pStyle w:val="61"/>
        <w:numPr>
          <w:ilvl w:val="0"/>
          <w:numId w:val="28"/>
        </w:numPr>
        <w:tabs>
          <w:tab w:val="left" w:pos="1069"/>
        </w:tabs>
        <w:spacing w:line="415" w:lineRule="auto"/>
        <w:ind w:firstLine="480"/>
        <w:jc w:val="both"/>
        <w:rPr>
          <w:sz w:val="21"/>
          <w:szCs w:val="21"/>
          <w:lang w:eastAsia="zh-CN"/>
        </w:rPr>
      </w:pPr>
      <w:bookmarkStart w:id="82" w:name="bookmark800"/>
      <w:bookmarkEnd w:id="82"/>
      <w:r>
        <w:rPr>
          <w:sz w:val="21"/>
          <w:szCs w:val="21"/>
          <w:lang w:eastAsia="zh-CN"/>
        </w:rPr>
        <w:t>站内设两级污水沉淀池。</w:t>
      </w:r>
    </w:p>
    <w:p>
      <w:pPr>
        <w:pStyle w:val="61"/>
        <w:numPr>
          <w:ilvl w:val="0"/>
          <w:numId w:val="28"/>
        </w:numPr>
        <w:tabs>
          <w:tab w:val="left" w:pos="1057"/>
        </w:tabs>
        <w:spacing w:line="478" w:lineRule="exact"/>
        <w:ind w:firstLine="480"/>
        <w:jc w:val="both"/>
        <w:rPr>
          <w:sz w:val="21"/>
          <w:szCs w:val="21"/>
          <w:lang w:eastAsia="zh-CN"/>
        </w:rPr>
      </w:pPr>
      <w:bookmarkStart w:id="83" w:name="bookmark801"/>
      <w:bookmarkEnd w:id="83"/>
      <w:r>
        <w:rPr>
          <w:sz w:val="21"/>
          <w:szCs w:val="21"/>
          <w:lang w:eastAsia="zh-CN"/>
        </w:rPr>
        <w:t>混凝土搅拌站设备与构架全部油漆刷新(色标统一白色)，办公室、工作间、工具间、水泥库房必须是彩钢板建筑，砂石料围挡墙与储水池釆用砖石砌体，砂浆抹面并外加色标。</w:t>
      </w:r>
    </w:p>
    <w:p>
      <w:pPr>
        <w:pStyle w:val="61"/>
        <w:numPr>
          <w:ilvl w:val="0"/>
          <w:numId w:val="28"/>
        </w:numPr>
        <w:tabs>
          <w:tab w:val="left" w:pos="1064"/>
        </w:tabs>
        <w:spacing w:line="478" w:lineRule="exact"/>
        <w:ind w:firstLine="480"/>
        <w:jc w:val="both"/>
        <w:rPr>
          <w:sz w:val="21"/>
          <w:szCs w:val="21"/>
          <w:lang w:eastAsia="zh-CN"/>
        </w:rPr>
      </w:pPr>
      <w:bookmarkStart w:id="84" w:name="bookmark802"/>
      <w:bookmarkEnd w:id="84"/>
      <w:r>
        <w:rPr>
          <w:sz w:val="21"/>
          <w:szCs w:val="21"/>
          <w:lang w:eastAsia="zh-CN"/>
        </w:rPr>
        <w:t>在现场适宜的地方设置箱式或工棚式饮水点，专人负责管理。饮水点应设置座椅，并保持室内清洁与饮水卫生。</w:t>
      </w:r>
    </w:p>
    <w:p>
      <w:pPr>
        <w:pStyle w:val="61"/>
        <w:numPr>
          <w:ilvl w:val="0"/>
          <w:numId w:val="28"/>
        </w:numPr>
        <w:tabs>
          <w:tab w:val="left" w:pos="1064"/>
        </w:tabs>
        <w:spacing w:line="478" w:lineRule="exact"/>
        <w:ind w:firstLine="480"/>
        <w:jc w:val="both"/>
        <w:rPr>
          <w:sz w:val="21"/>
          <w:szCs w:val="21"/>
          <w:lang w:eastAsia="zh-CN"/>
        </w:rPr>
      </w:pPr>
      <w:bookmarkStart w:id="85" w:name="bookmark803"/>
      <w:bookmarkEnd w:id="85"/>
      <w:r>
        <w:rPr>
          <w:sz w:val="21"/>
          <w:szCs w:val="21"/>
          <w:lang w:eastAsia="zh-CN"/>
        </w:rPr>
        <w:t>施工承包方应对从事有毒有害作业的人员定期进行身体健康检查，并建立体检档案。</w:t>
      </w:r>
    </w:p>
    <w:p>
      <w:pPr>
        <w:pStyle w:val="61"/>
        <w:numPr>
          <w:ilvl w:val="0"/>
          <w:numId w:val="28"/>
        </w:numPr>
        <w:tabs>
          <w:tab w:val="left" w:pos="1069"/>
        </w:tabs>
        <w:spacing w:after="180" w:line="482" w:lineRule="exact"/>
        <w:ind w:firstLine="480"/>
        <w:jc w:val="both"/>
        <w:rPr>
          <w:sz w:val="21"/>
          <w:szCs w:val="21"/>
          <w:lang w:eastAsia="zh-CN"/>
        </w:rPr>
      </w:pPr>
      <w:bookmarkStart w:id="86" w:name="bookmark804"/>
      <w:bookmarkEnd w:id="86"/>
      <w:r>
        <w:rPr>
          <w:sz w:val="21"/>
          <w:szCs w:val="21"/>
          <w:lang w:eastAsia="zh-CN"/>
        </w:rPr>
        <w:t>尘、毒作业场所应有良好的通风除尘及防止中毒措施。</w:t>
      </w:r>
    </w:p>
    <w:p>
      <w:pPr>
        <w:pStyle w:val="61"/>
        <w:numPr>
          <w:ilvl w:val="0"/>
          <w:numId w:val="28"/>
        </w:numPr>
        <w:tabs>
          <w:tab w:val="left" w:pos="1069"/>
        </w:tabs>
        <w:spacing w:line="420" w:lineRule="auto"/>
        <w:ind w:firstLine="480"/>
        <w:jc w:val="both"/>
        <w:rPr>
          <w:sz w:val="21"/>
          <w:szCs w:val="21"/>
          <w:lang w:eastAsia="zh-CN"/>
        </w:rPr>
      </w:pPr>
      <w:bookmarkStart w:id="87" w:name="bookmark805"/>
      <w:bookmarkEnd w:id="87"/>
      <w:r>
        <w:rPr>
          <w:sz w:val="21"/>
          <w:szCs w:val="21"/>
          <w:lang w:eastAsia="zh-CN"/>
        </w:rPr>
        <w:t>严禁未成年人从事现场施工作业。</w:t>
      </w:r>
    </w:p>
    <w:p>
      <w:pPr>
        <w:pStyle w:val="61"/>
        <w:numPr>
          <w:ilvl w:val="0"/>
          <w:numId w:val="28"/>
        </w:numPr>
        <w:tabs>
          <w:tab w:val="left" w:pos="1064"/>
        </w:tabs>
        <w:spacing w:line="482" w:lineRule="exact"/>
        <w:ind w:firstLine="480"/>
        <w:jc w:val="both"/>
        <w:rPr>
          <w:sz w:val="21"/>
          <w:szCs w:val="21"/>
          <w:lang w:eastAsia="zh-CN"/>
        </w:rPr>
      </w:pPr>
      <w:bookmarkStart w:id="88" w:name="bookmark806"/>
      <w:bookmarkEnd w:id="88"/>
      <w:r>
        <w:rPr>
          <w:sz w:val="21"/>
          <w:szCs w:val="21"/>
          <w:lang w:eastAsia="zh-CN"/>
        </w:rPr>
        <w:t>根据卫生防疫要求，定期对饮用水及饮食卫生进行检查，预防肠道疾病的发生，同时应严防食物中毒。</w:t>
      </w:r>
    </w:p>
    <w:p>
      <w:pPr>
        <w:pStyle w:val="61"/>
        <w:numPr>
          <w:ilvl w:val="0"/>
          <w:numId w:val="28"/>
        </w:numPr>
        <w:tabs>
          <w:tab w:val="left" w:pos="1069"/>
        </w:tabs>
        <w:spacing w:line="478" w:lineRule="exact"/>
        <w:ind w:firstLine="480"/>
        <w:jc w:val="both"/>
        <w:rPr>
          <w:sz w:val="21"/>
          <w:szCs w:val="21"/>
          <w:lang w:eastAsia="zh-CN"/>
        </w:rPr>
      </w:pPr>
      <w:bookmarkStart w:id="89" w:name="bookmark807"/>
      <w:bookmarkEnd w:id="89"/>
      <w:r>
        <w:rPr>
          <w:sz w:val="21"/>
          <w:szCs w:val="21"/>
          <w:lang w:eastAsia="zh-CN"/>
        </w:rPr>
        <w:t>夏季露天作业应釆取防暑降温措施，防止人员中暑。</w:t>
      </w:r>
    </w:p>
    <w:p>
      <w:pPr>
        <w:pStyle w:val="61"/>
        <w:numPr>
          <w:ilvl w:val="0"/>
          <w:numId w:val="28"/>
        </w:numPr>
        <w:tabs>
          <w:tab w:val="left" w:pos="589"/>
          <w:tab w:val="left" w:pos="1134"/>
        </w:tabs>
        <w:spacing w:line="478" w:lineRule="exact"/>
        <w:ind w:firstLine="460"/>
        <w:jc w:val="both"/>
        <w:rPr>
          <w:sz w:val="21"/>
          <w:szCs w:val="21"/>
          <w:lang w:eastAsia="zh-CN"/>
        </w:rPr>
      </w:pPr>
      <w:bookmarkStart w:id="90" w:name="bookmark808"/>
      <w:bookmarkEnd w:id="90"/>
      <w:r>
        <w:rPr>
          <w:sz w:val="21"/>
          <w:szCs w:val="21"/>
          <w:lang w:eastAsia="zh-CN"/>
        </w:rPr>
        <w:t>施工承包方必须承担消除噪音的义务所有在正当工作时间(上午6点一晚上10点)以外，节假日施工或有可能影响周围环境的工作，必须事先征得监理工程师的同意方可进行。</w:t>
      </w:r>
    </w:p>
    <w:p>
      <w:pPr>
        <w:pStyle w:val="61"/>
        <w:numPr>
          <w:ilvl w:val="0"/>
          <w:numId w:val="28"/>
        </w:numPr>
        <w:tabs>
          <w:tab w:val="left" w:pos="1064"/>
        </w:tabs>
        <w:spacing w:after="180" w:line="490" w:lineRule="exact"/>
        <w:ind w:firstLine="480"/>
        <w:jc w:val="both"/>
        <w:rPr>
          <w:sz w:val="21"/>
          <w:szCs w:val="21"/>
          <w:lang w:eastAsia="zh-CN"/>
        </w:rPr>
      </w:pPr>
      <w:bookmarkStart w:id="91" w:name="bookmark809"/>
      <w:bookmarkEnd w:id="91"/>
      <w:r>
        <w:rPr>
          <w:sz w:val="21"/>
          <w:szCs w:val="21"/>
          <w:lang w:eastAsia="zh-CN"/>
        </w:rPr>
        <w:t>施工承包方必须承担消除粉尘、灰尘飘洒的义务，同时现场禁止一切焚烧物料的行为。</w:t>
      </w:r>
      <w:r>
        <w:rPr>
          <w:rFonts w:hint="eastAsia"/>
          <w:color w:val="0070C0"/>
          <w:sz w:val="21"/>
          <w:szCs w:val="21"/>
          <w:lang w:eastAsia="zh-CN"/>
        </w:rPr>
        <w:t>对因工程建设施工可能造成损害的毗邻建筑物、构筑物和地下管线等，应当采取专项防护措施。乙方应当遵守有关环境保护法律、法规的规定，在施工现场采取措施，防止或者减少粉尘、废气、废水、固体废物、噪声、振动和施工照明对人和环境的危害和污染。</w:t>
      </w:r>
    </w:p>
    <w:p>
      <w:pPr>
        <w:pStyle w:val="61"/>
        <w:numPr>
          <w:ilvl w:val="0"/>
          <w:numId w:val="28"/>
        </w:numPr>
        <w:tabs>
          <w:tab w:val="left" w:pos="1062"/>
        </w:tabs>
        <w:spacing w:line="420" w:lineRule="auto"/>
        <w:ind w:firstLine="480"/>
        <w:jc w:val="both"/>
        <w:rPr>
          <w:sz w:val="21"/>
          <w:szCs w:val="21"/>
          <w:lang w:eastAsia="zh-CN"/>
        </w:rPr>
      </w:pPr>
      <w:bookmarkStart w:id="92" w:name="bookmark810"/>
      <w:bookmarkEnd w:id="92"/>
      <w:r>
        <w:rPr>
          <w:sz w:val="21"/>
          <w:szCs w:val="21"/>
          <w:lang w:eastAsia="zh-CN"/>
        </w:rPr>
        <w:t>现场禁止一切牲畜进入。</w:t>
      </w:r>
    </w:p>
    <w:p>
      <w:pPr>
        <w:pStyle w:val="61"/>
        <w:numPr>
          <w:ilvl w:val="0"/>
          <w:numId w:val="28"/>
        </w:numPr>
        <w:tabs>
          <w:tab w:val="left" w:pos="1062"/>
        </w:tabs>
        <w:spacing w:line="482" w:lineRule="exact"/>
        <w:ind w:firstLine="480"/>
        <w:jc w:val="both"/>
        <w:rPr>
          <w:sz w:val="21"/>
          <w:szCs w:val="21"/>
        </w:rPr>
      </w:pPr>
      <w:bookmarkStart w:id="93" w:name="bookmark811"/>
      <w:bookmarkEnd w:id="93"/>
      <w:r>
        <w:rPr>
          <w:sz w:val="21"/>
          <w:szCs w:val="21"/>
        </w:rPr>
        <w:t>其他应补充的条款。</w:t>
      </w:r>
    </w:p>
    <w:p>
      <w:pPr>
        <w:pStyle w:val="61"/>
        <w:numPr>
          <w:ilvl w:val="0"/>
          <w:numId w:val="29"/>
        </w:numPr>
        <w:spacing w:line="482" w:lineRule="exact"/>
        <w:ind w:firstLine="480"/>
        <w:jc w:val="both"/>
        <w:rPr>
          <w:sz w:val="21"/>
          <w:szCs w:val="21"/>
          <w:lang w:eastAsia="zh-CN"/>
        </w:rPr>
      </w:pPr>
      <w:bookmarkStart w:id="94" w:name="bookmark812"/>
      <w:bookmarkEnd w:id="94"/>
      <w:r>
        <w:rPr>
          <w:sz w:val="21"/>
          <w:szCs w:val="21"/>
          <w:lang w:eastAsia="zh-CN"/>
        </w:rPr>
        <w:t>未尽事项按甲方《安健环及文明施工考核规定》、《不安全事件管理标准》、《习惯性违章行为考核》及《劳动纪律及文明生产考核》等规定的条款执行。</w:t>
      </w:r>
    </w:p>
    <w:p>
      <w:pPr>
        <w:pStyle w:val="61"/>
        <w:spacing w:line="482" w:lineRule="exact"/>
        <w:ind w:firstLine="600"/>
        <w:jc w:val="both"/>
        <w:rPr>
          <w:sz w:val="21"/>
          <w:szCs w:val="21"/>
          <w:lang w:eastAsia="zh-CN"/>
        </w:rPr>
      </w:pPr>
      <w:r>
        <w:rPr>
          <w:sz w:val="21"/>
          <w:szCs w:val="21"/>
          <w:lang w:eastAsia="zh-CN"/>
        </w:rPr>
        <w:t>(六)乙方发生下列违反安全、健康、环保情况所产生的扣款，甲、乙双方约定从合同进度款中扣除。</w:t>
      </w:r>
    </w:p>
    <w:p>
      <w:pPr>
        <w:pStyle w:val="61"/>
        <w:numPr>
          <w:ilvl w:val="0"/>
          <w:numId w:val="30"/>
        </w:numPr>
        <w:tabs>
          <w:tab w:val="left" w:pos="834"/>
        </w:tabs>
        <w:spacing w:line="475" w:lineRule="exact"/>
        <w:ind w:firstLine="480"/>
        <w:jc w:val="both"/>
        <w:rPr>
          <w:sz w:val="21"/>
          <w:szCs w:val="21"/>
          <w:lang w:eastAsia="zh-CN"/>
        </w:rPr>
      </w:pPr>
      <w:bookmarkStart w:id="95" w:name="bookmark813"/>
      <w:bookmarkEnd w:id="95"/>
      <w:r>
        <w:rPr>
          <w:sz w:val="21"/>
          <w:szCs w:val="21"/>
          <w:lang w:eastAsia="zh-CN"/>
        </w:rPr>
        <w:t>乙方工作中造成人身轻伤的，每一人次扣罚人民币一万元，造成人身重伤的，每一人次扣罚人民币五十万元，造成人身死亡的，每一人次扣罚人民币一百万元。</w:t>
      </w:r>
    </w:p>
    <w:p>
      <w:pPr>
        <w:pStyle w:val="61"/>
        <w:numPr>
          <w:ilvl w:val="0"/>
          <w:numId w:val="30"/>
        </w:numPr>
        <w:tabs>
          <w:tab w:val="left" w:pos="834"/>
        </w:tabs>
        <w:spacing w:line="475" w:lineRule="exact"/>
        <w:ind w:firstLine="480"/>
        <w:jc w:val="both"/>
        <w:rPr>
          <w:sz w:val="21"/>
          <w:szCs w:val="21"/>
          <w:lang w:eastAsia="zh-CN"/>
        </w:rPr>
      </w:pPr>
      <w:bookmarkStart w:id="96" w:name="bookmark814"/>
      <w:bookmarkEnd w:id="96"/>
      <w:r>
        <w:rPr>
          <w:sz w:val="21"/>
          <w:szCs w:val="21"/>
          <w:lang w:eastAsia="zh-CN"/>
        </w:rPr>
        <w:t>由于乙方责任造成的人身伤亡、工期延误、设备损坏、环境污染和职业病等事故，一切损失由乙方负责赔偿。</w:t>
      </w:r>
    </w:p>
    <w:p>
      <w:pPr>
        <w:pStyle w:val="61"/>
        <w:numPr>
          <w:ilvl w:val="0"/>
          <w:numId w:val="30"/>
        </w:numPr>
        <w:tabs>
          <w:tab w:val="left" w:pos="812"/>
        </w:tabs>
        <w:spacing w:after="180" w:line="482" w:lineRule="exact"/>
        <w:ind w:firstLine="480"/>
        <w:jc w:val="both"/>
        <w:rPr>
          <w:sz w:val="21"/>
          <w:szCs w:val="21"/>
          <w:lang w:eastAsia="zh-CN"/>
        </w:rPr>
      </w:pPr>
      <w:bookmarkStart w:id="97" w:name="bookmark815"/>
      <w:bookmarkEnd w:id="97"/>
      <w:r>
        <w:rPr>
          <w:sz w:val="21"/>
          <w:szCs w:val="21"/>
          <w:lang w:eastAsia="zh-CN"/>
        </w:rPr>
        <w:t>由于乙方责任发生特大、重大及火灾事故，每次扣罚人民币三十万元(当不足以弥补甲方损失时，以实际发生的损失额度计算)。</w:t>
      </w:r>
    </w:p>
    <w:p>
      <w:pPr>
        <w:pStyle w:val="61"/>
        <w:numPr>
          <w:ilvl w:val="0"/>
          <w:numId w:val="30"/>
        </w:numPr>
        <w:tabs>
          <w:tab w:val="left" w:pos="838"/>
        </w:tabs>
        <w:spacing w:line="413" w:lineRule="auto"/>
        <w:ind w:firstLine="480"/>
        <w:jc w:val="both"/>
        <w:rPr>
          <w:sz w:val="21"/>
          <w:szCs w:val="21"/>
          <w:lang w:eastAsia="zh-CN"/>
        </w:rPr>
      </w:pPr>
      <w:bookmarkStart w:id="98" w:name="bookmark816"/>
      <w:bookmarkEnd w:id="98"/>
      <w:r>
        <w:rPr>
          <w:sz w:val="21"/>
          <w:szCs w:val="21"/>
          <w:lang w:eastAsia="zh-CN"/>
        </w:rPr>
        <w:t>由于乙方责任发生严重未遂事故，每次扣罚人民币</w:t>
      </w:r>
      <w:r>
        <w:rPr>
          <w:rFonts w:cs="Times New Roman"/>
          <w:sz w:val="21"/>
          <w:szCs w:val="21"/>
          <w:lang w:val="en-US" w:eastAsia="zh-CN" w:bidi="en-US"/>
        </w:rPr>
        <w:t>5000-10000</w:t>
      </w:r>
      <w:r>
        <w:rPr>
          <w:sz w:val="21"/>
          <w:szCs w:val="21"/>
          <w:lang w:eastAsia="zh-CN"/>
        </w:rPr>
        <w:t>元。</w:t>
      </w:r>
    </w:p>
    <w:p>
      <w:pPr>
        <w:pStyle w:val="61"/>
        <w:numPr>
          <w:ilvl w:val="0"/>
          <w:numId w:val="30"/>
        </w:numPr>
        <w:tabs>
          <w:tab w:val="left" w:pos="834"/>
        </w:tabs>
        <w:spacing w:after="180" w:line="475" w:lineRule="exact"/>
        <w:ind w:firstLine="480"/>
        <w:jc w:val="both"/>
        <w:rPr>
          <w:sz w:val="21"/>
          <w:szCs w:val="21"/>
          <w:lang w:eastAsia="zh-CN"/>
        </w:rPr>
      </w:pPr>
      <w:bookmarkStart w:id="99" w:name="bookmark817"/>
      <w:bookmarkEnd w:id="99"/>
      <w:r>
        <w:rPr>
          <w:sz w:val="21"/>
          <w:szCs w:val="21"/>
          <w:lang w:eastAsia="zh-CN"/>
        </w:rPr>
        <w:t>乙方工程船舶进、退场应报监理单位批准同意，未经报批并未经海事部门同意，擅自进、退场的，每次扣罚</w:t>
      </w:r>
      <w:r>
        <w:rPr>
          <w:rFonts w:cs="Times New Roman"/>
          <w:sz w:val="21"/>
          <w:szCs w:val="21"/>
          <w:lang w:eastAsia="zh-CN"/>
        </w:rPr>
        <w:t>5000</w:t>
      </w:r>
      <w:r>
        <w:rPr>
          <w:sz w:val="21"/>
          <w:szCs w:val="21"/>
          <w:lang w:eastAsia="zh-CN"/>
        </w:rPr>
        <w:t>元。</w:t>
      </w:r>
    </w:p>
    <w:p>
      <w:pPr>
        <w:pStyle w:val="61"/>
        <w:numPr>
          <w:ilvl w:val="0"/>
          <w:numId w:val="30"/>
        </w:numPr>
        <w:tabs>
          <w:tab w:val="left" w:pos="838"/>
        </w:tabs>
        <w:spacing w:line="413" w:lineRule="auto"/>
        <w:ind w:firstLine="480"/>
        <w:jc w:val="both"/>
        <w:rPr>
          <w:sz w:val="21"/>
          <w:szCs w:val="21"/>
          <w:lang w:eastAsia="zh-CN"/>
        </w:rPr>
      </w:pPr>
      <w:bookmarkStart w:id="100" w:name="bookmark818"/>
      <w:bookmarkEnd w:id="100"/>
      <w:r>
        <w:rPr>
          <w:sz w:val="21"/>
          <w:szCs w:val="21"/>
          <w:lang w:eastAsia="zh-CN"/>
        </w:rPr>
        <w:t>乙方工程船舶应有适航证明，使用内河船的，责令退场并每次扣罚</w:t>
      </w:r>
      <w:r>
        <w:rPr>
          <w:rFonts w:cs="Times New Roman"/>
          <w:sz w:val="21"/>
          <w:szCs w:val="21"/>
          <w:lang w:eastAsia="zh-CN"/>
        </w:rPr>
        <w:t>10000</w:t>
      </w:r>
      <w:r>
        <w:rPr>
          <w:sz w:val="21"/>
          <w:szCs w:val="21"/>
          <w:lang w:eastAsia="zh-CN"/>
        </w:rPr>
        <w:t>元。</w:t>
      </w:r>
    </w:p>
    <w:p>
      <w:pPr>
        <w:pStyle w:val="61"/>
        <w:numPr>
          <w:ilvl w:val="0"/>
          <w:numId w:val="30"/>
        </w:numPr>
        <w:tabs>
          <w:tab w:val="left" w:pos="841"/>
        </w:tabs>
        <w:spacing w:after="180" w:line="475" w:lineRule="exact"/>
        <w:ind w:firstLine="480"/>
        <w:jc w:val="both"/>
        <w:rPr>
          <w:sz w:val="21"/>
          <w:szCs w:val="21"/>
          <w:lang w:eastAsia="zh-CN"/>
        </w:rPr>
      </w:pPr>
      <w:bookmarkStart w:id="101" w:name="bookmark819"/>
      <w:bookmarkEnd w:id="101"/>
      <w:r>
        <w:rPr>
          <w:sz w:val="21"/>
          <w:szCs w:val="21"/>
          <w:lang w:eastAsia="zh-CN"/>
        </w:rPr>
        <w:t>乙方人员发生下列情况，被甲方人员发现时，立即予以制止和责令其立即整改，甲方并可根据情节向乙方发《现场罚款通知单》，每人次扣罚人民币</w:t>
      </w:r>
      <w:r>
        <w:rPr>
          <w:rFonts w:cs="Times New Roman"/>
          <w:sz w:val="21"/>
          <w:szCs w:val="21"/>
          <w:lang w:val="en-US" w:eastAsia="zh-CN" w:bidi="en-US"/>
        </w:rPr>
        <w:t>200-1000</w:t>
      </w:r>
      <w:r>
        <w:rPr>
          <w:sz w:val="21"/>
          <w:szCs w:val="21"/>
          <w:lang w:eastAsia="zh-CN"/>
        </w:rPr>
        <w:t>元，乙方按要求在限期交款时间</w:t>
      </w:r>
      <w:r>
        <w:rPr>
          <w:sz w:val="21"/>
          <w:szCs w:val="21"/>
          <w:lang w:val="zh-CN" w:eastAsia="zh-CN" w:bidi="zh-CN"/>
        </w:rPr>
        <w:t>内完</w:t>
      </w:r>
      <w:r>
        <w:rPr>
          <w:sz w:val="21"/>
          <w:szCs w:val="21"/>
          <w:lang w:eastAsia="zh-CN"/>
        </w:rPr>
        <w:t>成交纳罚款，否则将对乙方进行加倍处罚，从合同进度款中扣除双倍“罚款金额"。</w:t>
      </w:r>
    </w:p>
    <w:p>
      <w:pPr>
        <w:pStyle w:val="61"/>
        <w:numPr>
          <w:ilvl w:val="0"/>
          <w:numId w:val="31"/>
        </w:numPr>
        <w:tabs>
          <w:tab w:val="left" w:pos="939"/>
        </w:tabs>
        <w:spacing w:line="413" w:lineRule="auto"/>
        <w:ind w:firstLine="480"/>
        <w:jc w:val="both"/>
        <w:rPr>
          <w:sz w:val="21"/>
          <w:szCs w:val="21"/>
          <w:lang w:eastAsia="zh-CN"/>
        </w:rPr>
      </w:pPr>
      <w:bookmarkStart w:id="102" w:name="bookmark820"/>
      <w:bookmarkEnd w:id="102"/>
      <w:r>
        <w:rPr>
          <w:sz w:val="21"/>
          <w:szCs w:val="21"/>
          <w:lang w:eastAsia="zh-CN"/>
        </w:rPr>
        <w:t>未经三级安全教育考试合格从事生产工作的。</w:t>
      </w:r>
    </w:p>
    <w:p>
      <w:pPr>
        <w:pStyle w:val="61"/>
        <w:numPr>
          <w:ilvl w:val="0"/>
          <w:numId w:val="31"/>
        </w:numPr>
        <w:tabs>
          <w:tab w:val="left" w:pos="942"/>
        </w:tabs>
        <w:spacing w:line="482" w:lineRule="exact"/>
        <w:ind w:firstLine="480"/>
        <w:jc w:val="both"/>
        <w:rPr>
          <w:sz w:val="21"/>
          <w:szCs w:val="21"/>
          <w:lang w:eastAsia="zh-CN"/>
        </w:rPr>
      </w:pPr>
      <w:bookmarkStart w:id="103" w:name="bookmark821"/>
      <w:bookmarkEnd w:id="103"/>
      <w:r>
        <w:rPr>
          <w:sz w:val="21"/>
          <w:szCs w:val="21"/>
          <w:lang w:eastAsia="zh-CN"/>
        </w:rPr>
        <w:t>不正确佩戴安全帽或工作人员在工作中不按规定正确着装；穿短裤、短袖和无袖上衣进入作业现场；高空作业不系安全带或安全带的安全绳未系在牢固的构架上。</w:t>
      </w:r>
    </w:p>
    <w:p>
      <w:pPr>
        <w:pStyle w:val="61"/>
        <w:numPr>
          <w:ilvl w:val="0"/>
          <w:numId w:val="31"/>
        </w:numPr>
        <w:tabs>
          <w:tab w:val="left" w:pos="934"/>
        </w:tabs>
        <w:spacing w:after="180" w:line="482" w:lineRule="exact"/>
        <w:ind w:firstLine="480"/>
        <w:jc w:val="both"/>
        <w:rPr>
          <w:sz w:val="21"/>
          <w:szCs w:val="21"/>
          <w:lang w:eastAsia="zh-CN"/>
        </w:rPr>
      </w:pPr>
      <w:bookmarkStart w:id="104" w:name="bookmark822"/>
      <w:bookmarkEnd w:id="104"/>
      <w:r>
        <w:rPr>
          <w:sz w:val="21"/>
          <w:szCs w:val="21"/>
          <w:lang w:eastAsia="zh-CN"/>
        </w:rPr>
        <w:t>高空作业人员不用绳索传递工具、材料，随手上下抛掷东西，高空作业用的器具无防坠落措施。</w:t>
      </w:r>
    </w:p>
    <w:p>
      <w:pPr>
        <w:pStyle w:val="61"/>
        <w:numPr>
          <w:ilvl w:val="0"/>
          <w:numId w:val="31"/>
        </w:numPr>
        <w:tabs>
          <w:tab w:val="left" w:pos="966"/>
        </w:tabs>
        <w:spacing w:line="472" w:lineRule="exact"/>
        <w:ind w:firstLine="500"/>
        <w:rPr>
          <w:sz w:val="21"/>
          <w:szCs w:val="21"/>
          <w:lang w:eastAsia="zh-CN"/>
        </w:rPr>
      </w:pPr>
      <w:bookmarkStart w:id="105" w:name="bookmark823"/>
      <w:bookmarkEnd w:id="105"/>
      <w:r>
        <w:rPr>
          <w:sz w:val="21"/>
          <w:szCs w:val="21"/>
          <w:lang w:eastAsia="zh-CN"/>
        </w:rPr>
        <w:t>使用不合格的安全帽、安全带，绝缘工器具未进行定期试验。</w:t>
      </w:r>
    </w:p>
    <w:p>
      <w:pPr>
        <w:pStyle w:val="61"/>
        <w:numPr>
          <w:ilvl w:val="0"/>
          <w:numId w:val="31"/>
        </w:numPr>
        <w:tabs>
          <w:tab w:val="left" w:pos="966"/>
        </w:tabs>
        <w:spacing w:line="472" w:lineRule="exact"/>
        <w:ind w:firstLine="500"/>
        <w:rPr>
          <w:sz w:val="21"/>
          <w:szCs w:val="21"/>
          <w:lang w:eastAsia="zh-CN"/>
        </w:rPr>
      </w:pPr>
      <w:bookmarkStart w:id="106" w:name="bookmark824"/>
      <w:bookmarkEnd w:id="106"/>
      <w:r>
        <w:rPr>
          <w:sz w:val="21"/>
          <w:szCs w:val="21"/>
          <w:lang w:eastAsia="zh-CN"/>
        </w:rPr>
        <w:t>非特种作业人员从事特种作业工作的；。</w:t>
      </w:r>
    </w:p>
    <w:p>
      <w:pPr>
        <w:pStyle w:val="61"/>
        <w:numPr>
          <w:ilvl w:val="0"/>
          <w:numId w:val="31"/>
        </w:numPr>
        <w:tabs>
          <w:tab w:val="left" w:pos="942"/>
        </w:tabs>
        <w:spacing w:line="472" w:lineRule="exact"/>
        <w:ind w:firstLine="500"/>
        <w:rPr>
          <w:sz w:val="21"/>
          <w:szCs w:val="21"/>
          <w:lang w:eastAsia="zh-CN"/>
        </w:rPr>
      </w:pPr>
      <w:bookmarkStart w:id="107" w:name="bookmark825"/>
      <w:bookmarkEnd w:id="107"/>
      <w:r>
        <w:rPr>
          <w:sz w:val="21"/>
          <w:szCs w:val="21"/>
          <w:lang w:eastAsia="zh-CN"/>
        </w:rPr>
        <w:t>将电源线直接插入插座内或挂在闸刀开关上使用；电气设施接线时先接电源端，后接负荷端；拆线时先拆负荷端，后接电源端。</w:t>
      </w:r>
    </w:p>
    <w:p>
      <w:pPr>
        <w:pStyle w:val="61"/>
        <w:numPr>
          <w:ilvl w:val="0"/>
          <w:numId w:val="31"/>
        </w:numPr>
        <w:tabs>
          <w:tab w:val="left" w:pos="966"/>
        </w:tabs>
        <w:spacing w:line="472" w:lineRule="exact"/>
        <w:ind w:firstLine="500"/>
        <w:rPr>
          <w:sz w:val="21"/>
          <w:szCs w:val="21"/>
          <w:lang w:eastAsia="zh-CN"/>
        </w:rPr>
      </w:pPr>
      <w:bookmarkStart w:id="108" w:name="bookmark826"/>
      <w:bookmarkEnd w:id="108"/>
      <w:r>
        <w:rPr>
          <w:sz w:val="21"/>
          <w:szCs w:val="21"/>
          <w:lang w:eastAsia="zh-CN"/>
        </w:rPr>
        <w:t>潜水泵工作时，大潜水泵周围区域进行清淤、挖土等工作。</w:t>
      </w:r>
    </w:p>
    <w:p>
      <w:pPr>
        <w:pStyle w:val="61"/>
        <w:numPr>
          <w:ilvl w:val="0"/>
          <w:numId w:val="31"/>
        </w:numPr>
        <w:tabs>
          <w:tab w:val="left" w:pos="966"/>
        </w:tabs>
        <w:spacing w:line="472" w:lineRule="exact"/>
        <w:ind w:firstLine="500"/>
        <w:rPr>
          <w:sz w:val="21"/>
          <w:szCs w:val="21"/>
          <w:lang w:eastAsia="zh-CN"/>
        </w:rPr>
      </w:pPr>
      <w:bookmarkStart w:id="109" w:name="bookmark827"/>
      <w:bookmarkEnd w:id="109"/>
      <w:r>
        <w:rPr>
          <w:sz w:val="21"/>
          <w:szCs w:val="21"/>
          <w:lang w:eastAsia="zh-CN"/>
        </w:rPr>
        <w:t>装设的接地线不符合安规要求；电焊机接地线未正确压接。</w:t>
      </w:r>
    </w:p>
    <w:p>
      <w:pPr>
        <w:pStyle w:val="61"/>
        <w:numPr>
          <w:ilvl w:val="0"/>
          <w:numId w:val="31"/>
        </w:numPr>
        <w:tabs>
          <w:tab w:val="left" w:pos="966"/>
        </w:tabs>
        <w:spacing w:after="180" w:line="472" w:lineRule="exact"/>
        <w:ind w:firstLine="500"/>
        <w:rPr>
          <w:sz w:val="21"/>
          <w:szCs w:val="21"/>
          <w:lang w:eastAsia="zh-CN"/>
        </w:rPr>
      </w:pPr>
      <w:bookmarkStart w:id="110" w:name="bookmark828"/>
      <w:bookmarkEnd w:id="110"/>
      <w:r>
        <w:rPr>
          <w:sz w:val="21"/>
          <w:szCs w:val="21"/>
          <w:lang w:eastAsia="zh-CN"/>
        </w:rPr>
        <w:t>现场施工不按规定办理工作票。</w:t>
      </w:r>
    </w:p>
    <w:p>
      <w:pPr>
        <w:pStyle w:val="61"/>
        <w:numPr>
          <w:ilvl w:val="0"/>
          <w:numId w:val="31"/>
        </w:numPr>
        <w:tabs>
          <w:tab w:val="left" w:pos="1089"/>
        </w:tabs>
        <w:spacing w:line="410" w:lineRule="auto"/>
        <w:ind w:firstLine="500"/>
        <w:rPr>
          <w:sz w:val="21"/>
          <w:szCs w:val="21"/>
          <w:lang w:eastAsia="zh-CN"/>
        </w:rPr>
      </w:pPr>
      <w:bookmarkStart w:id="111" w:name="bookmark829"/>
      <w:bookmarkEnd w:id="111"/>
      <w:r>
        <w:rPr>
          <w:sz w:val="21"/>
          <w:szCs w:val="21"/>
          <w:lang w:eastAsia="zh-CN"/>
        </w:rPr>
        <w:t>未经许可，施工人员擅自扩大工作范围。</w:t>
      </w:r>
    </w:p>
    <w:p>
      <w:pPr>
        <w:pStyle w:val="61"/>
        <w:numPr>
          <w:ilvl w:val="0"/>
          <w:numId w:val="31"/>
        </w:numPr>
        <w:tabs>
          <w:tab w:val="left" w:pos="1089"/>
        </w:tabs>
        <w:spacing w:line="410" w:lineRule="auto"/>
        <w:ind w:firstLine="500"/>
        <w:rPr>
          <w:sz w:val="21"/>
          <w:szCs w:val="21"/>
          <w:lang w:eastAsia="zh-CN"/>
        </w:rPr>
      </w:pPr>
      <w:bookmarkStart w:id="112" w:name="bookmark830"/>
      <w:bookmarkEnd w:id="112"/>
      <w:r>
        <w:rPr>
          <w:sz w:val="21"/>
          <w:szCs w:val="21"/>
          <w:lang w:eastAsia="zh-CN"/>
        </w:rPr>
        <w:t>在所列安全措施未全部实施前工作人员开始作业。</w:t>
      </w:r>
    </w:p>
    <w:p>
      <w:pPr>
        <w:pStyle w:val="61"/>
        <w:numPr>
          <w:ilvl w:val="0"/>
          <w:numId w:val="31"/>
        </w:numPr>
        <w:tabs>
          <w:tab w:val="left" w:pos="1089"/>
        </w:tabs>
        <w:spacing w:line="410" w:lineRule="auto"/>
        <w:ind w:firstLine="500"/>
        <w:rPr>
          <w:sz w:val="21"/>
          <w:szCs w:val="21"/>
          <w:lang w:eastAsia="zh-CN"/>
        </w:rPr>
      </w:pPr>
      <w:bookmarkStart w:id="113" w:name="bookmark831"/>
      <w:bookmarkEnd w:id="113"/>
      <w:r>
        <w:rPr>
          <w:sz w:val="21"/>
          <w:szCs w:val="21"/>
          <w:lang w:eastAsia="zh-CN"/>
        </w:rPr>
        <w:t>施工完毕，未采取可靠措施就进行试车工作。</w:t>
      </w:r>
    </w:p>
    <w:p>
      <w:pPr>
        <w:pStyle w:val="61"/>
        <w:numPr>
          <w:ilvl w:val="0"/>
          <w:numId w:val="31"/>
        </w:numPr>
        <w:tabs>
          <w:tab w:val="left" w:pos="1089"/>
        </w:tabs>
        <w:spacing w:line="410" w:lineRule="auto"/>
        <w:ind w:firstLine="500"/>
        <w:rPr>
          <w:sz w:val="21"/>
          <w:szCs w:val="21"/>
          <w:lang w:eastAsia="zh-CN"/>
        </w:rPr>
      </w:pPr>
      <w:bookmarkStart w:id="114" w:name="bookmark832"/>
      <w:bookmarkEnd w:id="114"/>
      <w:r>
        <w:rPr>
          <w:sz w:val="21"/>
          <w:szCs w:val="21"/>
          <w:lang w:eastAsia="zh-CN"/>
        </w:rPr>
        <w:t>非操作工操作起重设备(指需专人操作的起重设备)。</w:t>
      </w:r>
    </w:p>
    <w:p>
      <w:pPr>
        <w:pStyle w:val="61"/>
        <w:numPr>
          <w:ilvl w:val="0"/>
          <w:numId w:val="31"/>
        </w:numPr>
        <w:tabs>
          <w:tab w:val="left" w:pos="1089"/>
        </w:tabs>
        <w:spacing w:line="410" w:lineRule="auto"/>
        <w:ind w:firstLine="500"/>
        <w:rPr>
          <w:sz w:val="21"/>
          <w:szCs w:val="21"/>
        </w:rPr>
      </w:pPr>
      <w:bookmarkStart w:id="115" w:name="bookmark833"/>
      <w:bookmarkEnd w:id="115"/>
      <w:r>
        <w:rPr>
          <w:sz w:val="21"/>
          <w:szCs w:val="21"/>
        </w:rPr>
        <w:t>在起重吊物下行走或站立。</w:t>
      </w:r>
    </w:p>
    <w:p>
      <w:pPr>
        <w:pStyle w:val="61"/>
        <w:numPr>
          <w:ilvl w:val="0"/>
          <w:numId w:val="31"/>
        </w:numPr>
        <w:tabs>
          <w:tab w:val="left" w:pos="1089"/>
        </w:tabs>
        <w:spacing w:line="410" w:lineRule="auto"/>
        <w:ind w:firstLine="500"/>
        <w:rPr>
          <w:sz w:val="21"/>
          <w:szCs w:val="21"/>
          <w:lang w:eastAsia="zh-CN"/>
        </w:rPr>
      </w:pPr>
      <w:bookmarkStart w:id="116" w:name="bookmark834"/>
      <w:bookmarkEnd w:id="116"/>
      <w:r>
        <w:rPr>
          <w:sz w:val="21"/>
          <w:szCs w:val="21"/>
          <w:lang w:eastAsia="zh-CN"/>
        </w:rPr>
        <w:t>吊物捆扎、吊装方法不当，在吊物上堆放、悬挂零星物件。</w:t>
      </w:r>
    </w:p>
    <w:p>
      <w:pPr>
        <w:pStyle w:val="61"/>
        <w:numPr>
          <w:ilvl w:val="0"/>
          <w:numId w:val="31"/>
        </w:numPr>
        <w:tabs>
          <w:tab w:val="left" w:pos="1089"/>
        </w:tabs>
        <w:spacing w:line="410" w:lineRule="auto"/>
        <w:ind w:firstLine="500"/>
        <w:rPr>
          <w:sz w:val="21"/>
          <w:szCs w:val="21"/>
          <w:lang w:eastAsia="zh-CN"/>
        </w:rPr>
      </w:pPr>
      <w:bookmarkStart w:id="117" w:name="bookmark835"/>
      <w:bookmarkEnd w:id="117"/>
      <w:r>
        <w:rPr>
          <w:sz w:val="21"/>
          <w:szCs w:val="21"/>
          <w:lang w:eastAsia="zh-CN"/>
        </w:rPr>
        <w:t>在带电设备附近进行起吊作业，安全距离不够。</w:t>
      </w:r>
    </w:p>
    <w:p>
      <w:pPr>
        <w:pStyle w:val="61"/>
        <w:numPr>
          <w:ilvl w:val="0"/>
          <w:numId w:val="31"/>
        </w:numPr>
        <w:tabs>
          <w:tab w:val="left" w:pos="1089"/>
        </w:tabs>
        <w:spacing w:line="410" w:lineRule="auto"/>
        <w:ind w:firstLine="500"/>
        <w:rPr>
          <w:sz w:val="21"/>
          <w:szCs w:val="21"/>
          <w:lang w:eastAsia="zh-CN"/>
        </w:rPr>
      </w:pPr>
      <w:bookmarkStart w:id="118" w:name="bookmark836"/>
      <w:bookmarkEnd w:id="118"/>
      <w:r>
        <w:rPr>
          <w:sz w:val="21"/>
          <w:szCs w:val="21"/>
          <w:lang w:eastAsia="zh-CN"/>
        </w:rPr>
        <w:t>在带电设备附近进行起吊作业无监护人。</w:t>
      </w:r>
    </w:p>
    <w:p>
      <w:pPr>
        <w:pStyle w:val="61"/>
        <w:numPr>
          <w:ilvl w:val="0"/>
          <w:numId w:val="31"/>
        </w:numPr>
        <w:tabs>
          <w:tab w:val="left" w:pos="1089"/>
        </w:tabs>
        <w:spacing w:line="410" w:lineRule="auto"/>
        <w:ind w:firstLine="500"/>
        <w:rPr>
          <w:sz w:val="21"/>
          <w:szCs w:val="21"/>
          <w:lang w:eastAsia="zh-CN"/>
        </w:rPr>
      </w:pPr>
      <w:bookmarkStart w:id="119" w:name="bookmark837"/>
      <w:bookmarkEnd w:id="119"/>
      <w:r>
        <w:rPr>
          <w:sz w:val="21"/>
          <w:szCs w:val="21"/>
          <w:lang w:eastAsia="zh-CN"/>
        </w:rPr>
        <w:t>在电缆沟、夹层工作无监护人。</w:t>
      </w:r>
    </w:p>
    <w:p>
      <w:pPr>
        <w:pStyle w:val="61"/>
        <w:numPr>
          <w:ilvl w:val="0"/>
          <w:numId w:val="31"/>
        </w:numPr>
        <w:tabs>
          <w:tab w:val="left" w:pos="1089"/>
        </w:tabs>
        <w:spacing w:line="410" w:lineRule="auto"/>
        <w:ind w:firstLine="500"/>
        <w:rPr>
          <w:sz w:val="21"/>
          <w:szCs w:val="21"/>
          <w:lang w:eastAsia="zh-CN"/>
        </w:rPr>
      </w:pPr>
      <w:bookmarkStart w:id="120" w:name="bookmark838"/>
      <w:bookmarkEnd w:id="120"/>
      <w:r>
        <w:rPr>
          <w:sz w:val="21"/>
          <w:szCs w:val="21"/>
          <w:lang w:eastAsia="zh-CN"/>
        </w:rPr>
        <w:t>不按规定使用相应的安全工具进行操作。</w:t>
      </w:r>
    </w:p>
    <w:p>
      <w:pPr>
        <w:pStyle w:val="61"/>
        <w:numPr>
          <w:ilvl w:val="0"/>
          <w:numId w:val="31"/>
        </w:numPr>
        <w:tabs>
          <w:tab w:val="left" w:pos="1089"/>
        </w:tabs>
        <w:spacing w:line="472" w:lineRule="exact"/>
        <w:ind w:firstLine="500"/>
        <w:rPr>
          <w:sz w:val="21"/>
          <w:szCs w:val="21"/>
          <w:lang w:eastAsia="zh-CN"/>
        </w:rPr>
      </w:pPr>
      <w:bookmarkStart w:id="121" w:name="bookmark839"/>
      <w:bookmarkEnd w:id="121"/>
      <w:r>
        <w:rPr>
          <w:sz w:val="21"/>
          <w:szCs w:val="21"/>
          <w:lang w:eastAsia="zh-CN"/>
        </w:rPr>
        <w:t>使用的电动工具金属外壳不接地或不装漏电保护器，使用中不戴绝缘手套。</w:t>
      </w:r>
    </w:p>
    <w:p>
      <w:pPr>
        <w:pStyle w:val="61"/>
        <w:numPr>
          <w:ilvl w:val="0"/>
          <w:numId w:val="31"/>
        </w:numPr>
        <w:tabs>
          <w:tab w:val="left" w:pos="1089"/>
        </w:tabs>
        <w:spacing w:after="180" w:line="472" w:lineRule="exact"/>
        <w:ind w:firstLine="500"/>
        <w:rPr>
          <w:sz w:val="21"/>
          <w:szCs w:val="21"/>
          <w:lang w:eastAsia="zh-CN"/>
        </w:rPr>
      </w:pPr>
      <w:bookmarkStart w:id="122" w:name="bookmark840"/>
      <w:bookmarkEnd w:id="122"/>
      <w:r>
        <w:rPr>
          <w:sz w:val="21"/>
          <w:szCs w:val="21"/>
          <w:lang w:eastAsia="zh-CN"/>
        </w:rPr>
        <w:t>制定的安全措施不健全或与实际不符，使用中导致事故发生或延误事故处理。</w:t>
      </w:r>
    </w:p>
    <w:p>
      <w:pPr>
        <w:pStyle w:val="61"/>
        <w:numPr>
          <w:ilvl w:val="0"/>
          <w:numId w:val="31"/>
        </w:numPr>
        <w:tabs>
          <w:tab w:val="left" w:pos="1089"/>
        </w:tabs>
        <w:spacing w:line="410" w:lineRule="auto"/>
        <w:ind w:firstLine="500"/>
        <w:rPr>
          <w:sz w:val="21"/>
          <w:szCs w:val="21"/>
          <w:lang w:eastAsia="zh-CN"/>
        </w:rPr>
      </w:pPr>
      <w:bookmarkStart w:id="123" w:name="bookmark841"/>
      <w:bookmarkEnd w:id="123"/>
      <w:r>
        <w:rPr>
          <w:sz w:val="21"/>
          <w:szCs w:val="21"/>
          <w:lang w:eastAsia="zh-CN"/>
        </w:rPr>
        <w:t>凭借栏杆、脚手架、瓷件、管道、电缆托架起吊物件。</w:t>
      </w:r>
    </w:p>
    <w:p>
      <w:pPr>
        <w:pStyle w:val="61"/>
        <w:numPr>
          <w:ilvl w:val="0"/>
          <w:numId w:val="31"/>
        </w:numPr>
        <w:tabs>
          <w:tab w:val="left" w:pos="1089"/>
        </w:tabs>
        <w:spacing w:line="410" w:lineRule="auto"/>
        <w:ind w:firstLine="500"/>
        <w:rPr>
          <w:sz w:val="21"/>
          <w:szCs w:val="21"/>
          <w:lang w:eastAsia="zh-CN"/>
        </w:rPr>
      </w:pPr>
      <w:bookmarkStart w:id="124" w:name="bookmark842"/>
      <w:bookmarkEnd w:id="124"/>
      <w:r>
        <w:rPr>
          <w:sz w:val="21"/>
          <w:szCs w:val="21"/>
          <w:lang w:eastAsia="zh-CN"/>
        </w:rPr>
        <w:t>工作或休息时倚靠栏杆或坐立在栏杆、脚手架上。</w:t>
      </w:r>
    </w:p>
    <w:p>
      <w:pPr>
        <w:pStyle w:val="61"/>
        <w:numPr>
          <w:ilvl w:val="0"/>
          <w:numId w:val="31"/>
        </w:numPr>
        <w:tabs>
          <w:tab w:val="left" w:pos="1089"/>
        </w:tabs>
        <w:spacing w:line="410" w:lineRule="auto"/>
        <w:ind w:firstLine="500"/>
        <w:rPr>
          <w:sz w:val="21"/>
          <w:szCs w:val="21"/>
          <w:lang w:eastAsia="zh-CN"/>
        </w:rPr>
      </w:pPr>
      <w:bookmarkStart w:id="125" w:name="bookmark843"/>
      <w:bookmarkEnd w:id="125"/>
      <w:r>
        <w:rPr>
          <w:sz w:val="21"/>
          <w:szCs w:val="21"/>
          <w:lang w:eastAsia="zh-CN"/>
        </w:rPr>
        <w:t>在机械的转动、传动部分保护罩上坐、立、行走。</w:t>
      </w:r>
    </w:p>
    <w:p>
      <w:pPr>
        <w:pStyle w:val="61"/>
        <w:numPr>
          <w:ilvl w:val="0"/>
          <w:numId w:val="31"/>
        </w:numPr>
        <w:tabs>
          <w:tab w:val="left" w:pos="1064"/>
        </w:tabs>
        <w:spacing w:after="180" w:line="472" w:lineRule="exact"/>
        <w:ind w:firstLine="500"/>
        <w:rPr>
          <w:sz w:val="21"/>
          <w:szCs w:val="21"/>
          <w:lang w:eastAsia="zh-CN"/>
        </w:rPr>
      </w:pPr>
      <w:bookmarkStart w:id="126" w:name="bookmark844"/>
      <w:bookmarkEnd w:id="126"/>
      <w:r>
        <w:rPr>
          <w:sz w:val="21"/>
          <w:szCs w:val="21"/>
          <w:lang w:eastAsia="zh-CN"/>
        </w:rPr>
        <w:t>没有使用或不正确使用劳动保护用品，如使用砂轮、车床不戴护目眼镜，使用钻床、抡大锤时戴手套等。</w:t>
      </w:r>
    </w:p>
    <w:p>
      <w:pPr>
        <w:pStyle w:val="61"/>
        <w:numPr>
          <w:ilvl w:val="0"/>
          <w:numId w:val="31"/>
        </w:numPr>
        <w:tabs>
          <w:tab w:val="left" w:pos="1082"/>
        </w:tabs>
        <w:spacing w:after="180" w:line="240" w:lineRule="auto"/>
        <w:ind w:firstLine="500"/>
        <w:rPr>
          <w:sz w:val="21"/>
          <w:szCs w:val="21"/>
          <w:lang w:eastAsia="zh-CN"/>
        </w:rPr>
      </w:pPr>
      <w:bookmarkStart w:id="127" w:name="bookmark845"/>
      <w:bookmarkEnd w:id="127"/>
      <w:r>
        <w:rPr>
          <w:sz w:val="21"/>
          <w:szCs w:val="21"/>
          <w:lang w:eastAsia="zh-CN"/>
        </w:rPr>
        <w:t>在易燃、易爆区携带火种、穿带铁钉、铁掌的鞋等。</w:t>
      </w:r>
    </w:p>
    <w:p>
      <w:pPr>
        <w:pStyle w:val="61"/>
        <w:numPr>
          <w:ilvl w:val="0"/>
          <w:numId w:val="31"/>
        </w:numPr>
        <w:tabs>
          <w:tab w:val="left" w:pos="1082"/>
        </w:tabs>
        <w:spacing w:after="180" w:line="240" w:lineRule="auto"/>
        <w:ind w:firstLine="500"/>
        <w:rPr>
          <w:sz w:val="21"/>
          <w:szCs w:val="21"/>
          <w:lang w:eastAsia="zh-CN"/>
        </w:rPr>
      </w:pPr>
      <w:bookmarkStart w:id="128" w:name="bookmark846"/>
      <w:bookmarkEnd w:id="128"/>
      <w:r>
        <w:rPr>
          <w:sz w:val="21"/>
          <w:szCs w:val="21"/>
          <w:lang w:eastAsia="zh-CN"/>
        </w:rPr>
        <w:t>动火作业不按规定办理动火工作票。</w:t>
      </w:r>
    </w:p>
    <w:p>
      <w:pPr>
        <w:pStyle w:val="61"/>
        <w:numPr>
          <w:ilvl w:val="0"/>
          <w:numId w:val="31"/>
        </w:numPr>
        <w:tabs>
          <w:tab w:val="left" w:pos="1082"/>
        </w:tabs>
        <w:spacing w:after="180" w:line="240" w:lineRule="auto"/>
        <w:ind w:firstLine="500"/>
        <w:rPr>
          <w:sz w:val="21"/>
          <w:szCs w:val="21"/>
          <w:lang w:eastAsia="zh-CN"/>
        </w:rPr>
      </w:pPr>
      <w:bookmarkStart w:id="129" w:name="bookmark847"/>
      <w:bookmarkEnd w:id="129"/>
      <w:r>
        <w:rPr>
          <w:sz w:val="21"/>
          <w:szCs w:val="21"/>
          <w:lang w:eastAsia="zh-CN"/>
        </w:rPr>
        <w:t>氢、油、氨管道动火时不按规定接地线。</w:t>
      </w:r>
    </w:p>
    <w:p>
      <w:pPr>
        <w:pStyle w:val="61"/>
        <w:numPr>
          <w:ilvl w:val="0"/>
          <w:numId w:val="31"/>
        </w:numPr>
        <w:tabs>
          <w:tab w:val="left" w:pos="1082"/>
        </w:tabs>
        <w:spacing w:after="180" w:line="240" w:lineRule="auto"/>
        <w:ind w:firstLine="500"/>
        <w:rPr>
          <w:sz w:val="21"/>
          <w:szCs w:val="21"/>
          <w:lang w:eastAsia="zh-CN"/>
        </w:rPr>
      </w:pPr>
      <w:bookmarkStart w:id="130" w:name="bookmark848"/>
      <w:bookmarkEnd w:id="130"/>
      <w:r>
        <w:rPr>
          <w:sz w:val="21"/>
          <w:szCs w:val="21"/>
          <w:lang w:eastAsia="zh-CN"/>
        </w:rPr>
        <w:t>在易燃易爆区域作业无防止产生火花的措施。</w:t>
      </w:r>
    </w:p>
    <w:p>
      <w:pPr>
        <w:pStyle w:val="61"/>
        <w:numPr>
          <w:ilvl w:val="0"/>
          <w:numId w:val="31"/>
        </w:numPr>
        <w:tabs>
          <w:tab w:val="left" w:pos="1062"/>
        </w:tabs>
        <w:spacing w:after="180" w:line="240" w:lineRule="auto"/>
        <w:ind w:firstLine="500"/>
        <w:rPr>
          <w:sz w:val="21"/>
          <w:szCs w:val="21"/>
          <w:lang w:eastAsia="zh-CN"/>
        </w:rPr>
      </w:pPr>
      <w:bookmarkStart w:id="131" w:name="bookmark849"/>
      <w:bookmarkEnd w:id="131"/>
      <w:r>
        <w:rPr>
          <w:sz w:val="21"/>
          <w:szCs w:val="21"/>
          <w:lang w:eastAsia="zh-CN"/>
        </w:rPr>
        <w:t>安排未经培训并考试不合格的人员上岗。</w:t>
      </w:r>
      <w:bookmarkStart w:id="132" w:name="bookmark850"/>
      <w:bookmarkEnd w:id="132"/>
    </w:p>
    <w:p>
      <w:pPr>
        <w:pStyle w:val="61"/>
        <w:numPr>
          <w:ilvl w:val="0"/>
          <w:numId w:val="31"/>
        </w:numPr>
        <w:tabs>
          <w:tab w:val="left" w:pos="1062"/>
        </w:tabs>
        <w:spacing w:after="180" w:line="240" w:lineRule="auto"/>
        <w:ind w:firstLine="500"/>
        <w:rPr>
          <w:sz w:val="21"/>
          <w:szCs w:val="21"/>
          <w:lang w:eastAsia="zh-CN"/>
        </w:rPr>
      </w:pPr>
      <w:r>
        <w:rPr>
          <w:sz w:val="21"/>
          <w:szCs w:val="21"/>
          <w:lang w:eastAsia="zh-CN"/>
        </w:rPr>
        <w:t>将车辆交给无证人员贺驶，违章操作或违章行驶。</w:t>
      </w:r>
    </w:p>
    <w:p>
      <w:pPr>
        <w:pStyle w:val="61"/>
        <w:numPr>
          <w:ilvl w:val="0"/>
          <w:numId w:val="31"/>
        </w:numPr>
        <w:tabs>
          <w:tab w:val="left" w:pos="1062"/>
        </w:tabs>
        <w:spacing w:after="180" w:line="240" w:lineRule="auto"/>
        <w:ind w:firstLine="500"/>
        <w:rPr>
          <w:sz w:val="21"/>
          <w:szCs w:val="21"/>
          <w:lang w:eastAsia="zh-CN"/>
        </w:rPr>
      </w:pPr>
      <w:bookmarkStart w:id="133" w:name="bookmark851"/>
      <w:bookmarkEnd w:id="133"/>
      <w:r>
        <w:rPr>
          <w:sz w:val="21"/>
          <w:szCs w:val="21"/>
          <w:lang w:eastAsia="zh-CN"/>
        </w:rPr>
        <w:t>各种孔洞盖板掀开后未装设遮栏、警告标志。</w:t>
      </w:r>
    </w:p>
    <w:p>
      <w:pPr>
        <w:pStyle w:val="61"/>
        <w:numPr>
          <w:ilvl w:val="0"/>
          <w:numId w:val="31"/>
        </w:numPr>
        <w:tabs>
          <w:tab w:val="left" w:pos="1062"/>
        </w:tabs>
        <w:spacing w:after="180" w:line="240" w:lineRule="auto"/>
        <w:ind w:firstLine="500"/>
        <w:rPr>
          <w:sz w:val="21"/>
          <w:szCs w:val="21"/>
          <w:lang w:eastAsia="zh-CN"/>
        </w:rPr>
      </w:pPr>
      <w:bookmarkStart w:id="134" w:name="bookmark852"/>
      <w:bookmarkEnd w:id="134"/>
      <w:r>
        <w:rPr>
          <w:sz w:val="21"/>
          <w:szCs w:val="21"/>
          <w:lang w:eastAsia="zh-CN"/>
        </w:rPr>
        <w:t>擅自跨越安全遮栏。</w:t>
      </w:r>
    </w:p>
    <w:p>
      <w:pPr>
        <w:pStyle w:val="61"/>
        <w:numPr>
          <w:ilvl w:val="0"/>
          <w:numId w:val="31"/>
        </w:numPr>
        <w:tabs>
          <w:tab w:val="left" w:pos="1062"/>
        </w:tabs>
        <w:spacing w:after="180" w:line="240" w:lineRule="auto"/>
        <w:ind w:firstLine="500"/>
        <w:rPr>
          <w:sz w:val="21"/>
          <w:szCs w:val="21"/>
          <w:lang w:eastAsia="zh-CN"/>
        </w:rPr>
      </w:pPr>
      <w:bookmarkStart w:id="135" w:name="bookmark853"/>
      <w:bookmarkEnd w:id="135"/>
      <w:r>
        <w:rPr>
          <w:sz w:val="21"/>
          <w:szCs w:val="21"/>
          <w:lang w:eastAsia="zh-CN"/>
        </w:rPr>
        <w:t>照明行灯不按规定电压使用。</w:t>
      </w:r>
    </w:p>
    <w:p>
      <w:pPr>
        <w:pStyle w:val="61"/>
        <w:numPr>
          <w:ilvl w:val="0"/>
          <w:numId w:val="32"/>
        </w:numPr>
        <w:tabs>
          <w:tab w:val="left" w:pos="1062"/>
        </w:tabs>
        <w:spacing w:line="474" w:lineRule="exact"/>
        <w:ind w:firstLine="480"/>
        <w:jc w:val="both"/>
        <w:rPr>
          <w:sz w:val="21"/>
          <w:szCs w:val="21"/>
          <w:lang w:eastAsia="zh-CN"/>
        </w:rPr>
      </w:pPr>
      <w:bookmarkStart w:id="136" w:name="bookmark854"/>
      <w:bookmarkEnd w:id="136"/>
      <w:r>
        <w:rPr>
          <w:sz w:val="21"/>
          <w:szCs w:val="21"/>
          <w:lang w:eastAsia="zh-CN"/>
        </w:rPr>
        <w:t>不按规定装设安全防护网。</w:t>
      </w:r>
    </w:p>
    <w:p>
      <w:pPr>
        <w:pStyle w:val="61"/>
        <w:numPr>
          <w:ilvl w:val="0"/>
          <w:numId w:val="32"/>
        </w:numPr>
        <w:tabs>
          <w:tab w:val="left" w:pos="1062"/>
        </w:tabs>
        <w:spacing w:line="474" w:lineRule="exact"/>
        <w:ind w:firstLine="480"/>
        <w:jc w:val="both"/>
        <w:rPr>
          <w:sz w:val="21"/>
          <w:szCs w:val="21"/>
          <w:lang w:eastAsia="zh-CN"/>
        </w:rPr>
      </w:pPr>
      <w:bookmarkStart w:id="137" w:name="bookmark855"/>
      <w:bookmarkEnd w:id="137"/>
      <w:r>
        <w:rPr>
          <w:sz w:val="21"/>
          <w:szCs w:val="21"/>
          <w:lang w:eastAsia="zh-CN"/>
        </w:rPr>
        <w:t>生产现场吸烟或检修现场有烟头、流动吸烟。</w:t>
      </w:r>
    </w:p>
    <w:p>
      <w:pPr>
        <w:pStyle w:val="61"/>
        <w:numPr>
          <w:ilvl w:val="0"/>
          <w:numId w:val="32"/>
        </w:numPr>
        <w:tabs>
          <w:tab w:val="left" w:pos="1062"/>
        </w:tabs>
        <w:spacing w:line="474" w:lineRule="exact"/>
        <w:ind w:firstLine="480"/>
        <w:jc w:val="both"/>
        <w:rPr>
          <w:sz w:val="21"/>
          <w:szCs w:val="21"/>
          <w:lang w:eastAsia="zh-CN"/>
        </w:rPr>
      </w:pPr>
      <w:bookmarkStart w:id="138" w:name="bookmark856"/>
      <w:bookmarkEnd w:id="138"/>
      <w:r>
        <w:rPr>
          <w:sz w:val="21"/>
          <w:szCs w:val="21"/>
          <w:lang w:eastAsia="zh-CN"/>
        </w:rPr>
        <w:t>随意挪用现场安全设施或损坏现场安全标志。</w:t>
      </w:r>
    </w:p>
    <w:p>
      <w:pPr>
        <w:pStyle w:val="61"/>
        <w:numPr>
          <w:ilvl w:val="0"/>
          <w:numId w:val="32"/>
        </w:numPr>
        <w:tabs>
          <w:tab w:val="left" w:pos="1064"/>
        </w:tabs>
        <w:spacing w:line="474" w:lineRule="exact"/>
        <w:ind w:firstLine="480"/>
        <w:jc w:val="both"/>
        <w:rPr>
          <w:sz w:val="21"/>
          <w:szCs w:val="21"/>
          <w:lang w:eastAsia="zh-CN"/>
        </w:rPr>
      </w:pPr>
      <w:bookmarkStart w:id="139" w:name="bookmark857"/>
      <w:bookmarkEnd w:id="139"/>
      <w:r>
        <w:rPr>
          <w:sz w:val="21"/>
          <w:szCs w:val="21"/>
          <w:lang w:eastAsia="zh-CN"/>
        </w:rPr>
        <w:t>乙炔瓶、氧气瓶、压缩空气贮罐等的安全附件不齐全，不满足安全距离。乙炔瓶与氧气瓶之间水平距离小于五米，二气瓶与动火点之间水平距离小于十米，气瓶躺放，搬运气瓶没有釆用专用小车。气瓶须无瓶帽，无遮阳防晒措施。</w:t>
      </w:r>
    </w:p>
    <w:p>
      <w:pPr>
        <w:pStyle w:val="61"/>
        <w:numPr>
          <w:ilvl w:val="0"/>
          <w:numId w:val="32"/>
        </w:numPr>
        <w:tabs>
          <w:tab w:val="left" w:pos="1062"/>
        </w:tabs>
        <w:spacing w:line="474" w:lineRule="exact"/>
        <w:ind w:firstLine="480"/>
        <w:jc w:val="both"/>
        <w:rPr>
          <w:sz w:val="21"/>
          <w:szCs w:val="21"/>
          <w:lang w:eastAsia="zh-CN"/>
        </w:rPr>
      </w:pPr>
      <w:bookmarkStart w:id="140" w:name="bookmark858"/>
      <w:bookmarkEnd w:id="140"/>
      <w:r>
        <w:rPr>
          <w:sz w:val="21"/>
          <w:szCs w:val="21"/>
          <w:lang w:eastAsia="zh-CN"/>
        </w:rPr>
        <w:t>焊接、切割工作前，未清理周围的易燃物，工作后未检查、清理现场遗留物。</w:t>
      </w:r>
    </w:p>
    <w:p>
      <w:pPr>
        <w:pStyle w:val="61"/>
        <w:numPr>
          <w:ilvl w:val="0"/>
          <w:numId w:val="32"/>
        </w:numPr>
        <w:tabs>
          <w:tab w:val="left" w:pos="1062"/>
        </w:tabs>
        <w:spacing w:line="474" w:lineRule="exact"/>
        <w:ind w:firstLine="480"/>
        <w:jc w:val="both"/>
        <w:rPr>
          <w:sz w:val="21"/>
          <w:szCs w:val="21"/>
          <w:lang w:eastAsia="zh-CN"/>
        </w:rPr>
      </w:pPr>
      <w:bookmarkStart w:id="141" w:name="bookmark859"/>
      <w:bookmarkEnd w:id="141"/>
      <w:r>
        <w:rPr>
          <w:sz w:val="21"/>
          <w:szCs w:val="21"/>
          <w:lang w:eastAsia="zh-CN"/>
        </w:rPr>
        <w:t>无正当理由挪用消防器材。</w:t>
      </w:r>
    </w:p>
    <w:p>
      <w:pPr>
        <w:pStyle w:val="61"/>
        <w:numPr>
          <w:ilvl w:val="0"/>
          <w:numId w:val="32"/>
        </w:numPr>
        <w:tabs>
          <w:tab w:val="left" w:pos="1062"/>
        </w:tabs>
        <w:spacing w:line="474" w:lineRule="exact"/>
        <w:ind w:firstLine="480"/>
        <w:jc w:val="both"/>
        <w:rPr>
          <w:sz w:val="21"/>
          <w:szCs w:val="21"/>
          <w:lang w:eastAsia="zh-CN"/>
        </w:rPr>
      </w:pPr>
      <w:bookmarkStart w:id="142" w:name="bookmark860"/>
      <w:bookmarkEnd w:id="142"/>
      <w:r>
        <w:rPr>
          <w:sz w:val="21"/>
          <w:szCs w:val="21"/>
          <w:lang w:eastAsia="zh-CN"/>
        </w:rPr>
        <w:t>未履行有关手续即对有压力、带电、充油的容器及管道施焊。</w:t>
      </w:r>
    </w:p>
    <w:p>
      <w:pPr>
        <w:pStyle w:val="61"/>
        <w:numPr>
          <w:ilvl w:val="0"/>
          <w:numId w:val="32"/>
        </w:numPr>
        <w:tabs>
          <w:tab w:val="left" w:pos="1062"/>
        </w:tabs>
        <w:spacing w:line="474" w:lineRule="exact"/>
        <w:ind w:firstLine="480"/>
        <w:jc w:val="both"/>
        <w:rPr>
          <w:sz w:val="21"/>
          <w:szCs w:val="21"/>
          <w:lang w:eastAsia="zh-CN"/>
        </w:rPr>
      </w:pPr>
      <w:bookmarkStart w:id="143" w:name="bookmark861"/>
      <w:bookmarkEnd w:id="143"/>
      <w:r>
        <w:rPr>
          <w:sz w:val="21"/>
          <w:szCs w:val="21"/>
          <w:lang w:eastAsia="zh-CN"/>
        </w:rPr>
        <w:t>在金属容器内同时进行电焊和气焊、气割或其他工作。</w:t>
      </w:r>
    </w:p>
    <w:p>
      <w:pPr>
        <w:pStyle w:val="61"/>
        <w:numPr>
          <w:ilvl w:val="0"/>
          <w:numId w:val="32"/>
        </w:numPr>
        <w:tabs>
          <w:tab w:val="left" w:pos="1062"/>
        </w:tabs>
        <w:spacing w:line="474" w:lineRule="exact"/>
        <w:ind w:firstLine="480"/>
        <w:jc w:val="both"/>
        <w:rPr>
          <w:sz w:val="21"/>
          <w:szCs w:val="21"/>
          <w:lang w:eastAsia="zh-CN"/>
        </w:rPr>
      </w:pPr>
      <w:bookmarkStart w:id="144" w:name="bookmark862"/>
      <w:bookmarkEnd w:id="144"/>
      <w:r>
        <w:rPr>
          <w:sz w:val="21"/>
          <w:szCs w:val="21"/>
          <w:lang w:eastAsia="zh-CN"/>
        </w:rPr>
        <w:t>对盛过油的容器、易燃物品施焊未采取防火安全措施。</w:t>
      </w:r>
    </w:p>
    <w:p>
      <w:pPr>
        <w:pStyle w:val="61"/>
        <w:numPr>
          <w:ilvl w:val="0"/>
          <w:numId w:val="32"/>
        </w:numPr>
        <w:tabs>
          <w:tab w:val="left" w:pos="1062"/>
        </w:tabs>
        <w:spacing w:line="474" w:lineRule="exact"/>
        <w:ind w:firstLine="480"/>
        <w:jc w:val="both"/>
        <w:rPr>
          <w:sz w:val="21"/>
          <w:szCs w:val="21"/>
          <w:lang w:eastAsia="zh-CN"/>
        </w:rPr>
      </w:pPr>
      <w:bookmarkStart w:id="145" w:name="bookmark863"/>
      <w:bookmarkEnd w:id="145"/>
      <w:r>
        <w:rPr>
          <w:sz w:val="21"/>
          <w:szCs w:val="21"/>
          <w:lang w:eastAsia="zh-CN"/>
        </w:rPr>
        <w:t>动火作业现场附近有与其相抵触的工作，不具备安全距离和安全时间间隔。</w:t>
      </w:r>
    </w:p>
    <w:p>
      <w:pPr>
        <w:pStyle w:val="61"/>
        <w:numPr>
          <w:ilvl w:val="0"/>
          <w:numId w:val="32"/>
        </w:numPr>
        <w:tabs>
          <w:tab w:val="left" w:pos="1062"/>
        </w:tabs>
        <w:spacing w:line="474" w:lineRule="exact"/>
        <w:ind w:firstLine="480"/>
        <w:jc w:val="both"/>
        <w:rPr>
          <w:sz w:val="21"/>
          <w:szCs w:val="21"/>
          <w:lang w:eastAsia="zh-CN"/>
        </w:rPr>
      </w:pPr>
      <w:bookmarkStart w:id="146" w:name="bookmark864"/>
      <w:bookmarkEnd w:id="146"/>
      <w:r>
        <w:rPr>
          <w:sz w:val="21"/>
          <w:szCs w:val="21"/>
          <w:lang w:eastAsia="zh-CN"/>
        </w:rPr>
        <w:t>在工作场所戏耍、吵骂、赌博和斗殴等与工作无关的活动。</w:t>
      </w:r>
    </w:p>
    <w:p>
      <w:pPr>
        <w:pStyle w:val="61"/>
        <w:numPr>
          <w:ilvl w:val="0"/>
          <w:numId w:val="32"/>
        </w:numPr>
        <w:tabs>
          <w:tab w:val="left" w:pos="1062"/>
        </w:tabs>
        <w:spacing w:line="474" w:lineRule="exact"/>
        <w:ind w:firstLine="480"/>
        <w:jc w:val="both"/>
        <w:rPr>
          <w:sz w:val="21"/>
          <w:szCs w:val="21"/>
          <w:lang w:eastAsia="zh-CN"/>
        </w:rPr>
      </w:pPr>
      <w:bookmarkStart w:id="147" w:name="bookmark865"/>
      <w:bookmarkEnd w:id="147"/>
      <w:r>
        <w:rPr>
          <w:sz w:val="21"/>
          <w:szCs w:val="21"/>
          <w:lang w:eastAsia="zh-CN"/>
        </w:rPr>
        <w:t>承包方施工人员在现场随地大小便、吐痰、乱扔垃圾。</w:t>
      </w:r>
    </w:p>
    <w:p>
      <w:pPr>
        <w:pStyle w:val="61"/>
        <w:numPr>
          <w:ilvl w:val="0"/>
          <w:numId w:val="32"/>
        </w:numPr>
        <w:tabs>
          <w:tab w:val="left" w:pos="1062"/>
        </w:tabs>
        <w:spacing w:line="474" w:lineRule="exact"/>
        <w:ind w:firstLine="480"/>
        <w:jc w:val="both"/>
        <w:rPr>
          <w:sz w:val="21"/>
          <w:szCs w:val="21"/>
          <w:lang w:eastAsia="zh-CN"/>
        </w:rPr>
      </w:pPr>
      <w:bookmarkStart w:id="148" w:name="bookmark866"/>
      <w:bookmarkEnd w:id="148"/>
      <w:r>
        <w:rPr>
          <w:sz w:val="21"/>
          <w:szCs w:val="21"/>
          <w:lang w:eastAsia="zh-CN"/>
        </w:rPr>
        <w:t>承包方施工人员酒后进入现场，有吸毒、打架斗殴等违法行为。</w:t>
      </w:r>
    </w:p>
    <w:p>
      <w:pPr>
        <w:pStyle w:val="61"/>
        <w:numPr>
          <w:ilvl w:val="0"/>
          <w:numId w:val="32"/>
        </w:numPr>
        <w:tabs>
          <w:tab w:val="left" w:pos="1050"/>
        </w:tabs>
        <w:spacing w:line="474" w:lineRule="exact"/>
        <w:ind w:firstLine="480"/>
        <w:jc w:val="both"/>
        <w:rPr>
          <w:sz w:val="21"/>
          <w:szCs w:val="21"/>
          <w:lang w:eastAsia="zh-CN"/>
        </w:rPr>
      </w:pPr>
      <w:bookmarkStart w:id="149" w:name="bookmark867"/>
      <w:bookmarkEnd w:id="149"/>
      <w:r>
        <w:rPr>
          <w:sz w:val="21"/>
          <w:szCs w:val="21"/>
          <w:lang w:eastAsia="zh-CN"/>
        </w:rPr>
        <w:t>承包方没有设置临时卫生间(厕所和冲洗间)，承包方施工人员不按规定使用临时卫生间，生活污水乱排。</w:t>
      </w:r>
    </w:p>
    <w:p>
      <w:pPr>
        <w:pStyle w:val="61"/>
        <w:numPr>
          <w:ilvl w:val="0"/>
          <w:numId w:val="32"/>
        </w:numPr>
        <w:tabs>
          <w:tab w:val="left" w:pos="1062"/>
        </w:tabs>
        <w:spacing w:line="474" w:lineRule="exact"/>
        <w:ind w:firstLine="480"/>
        <w:jc w:val="both"/>
        <w:rPr>
          <w:sz w:val="21"/>
          <w:szCs w:val="21"/>
          <w:lang w:eastAsia="zh-CN"/>
        </w:rPr>
      </w:pPr>
      <w:bookmarkStart w:id="150" w:name="bookmark868"/>
      <w:bookmarkEnd w:id="150"/>
      <w:r>
        <w:rPr>
          <w:sz w:val="21"/>
          <w:szCs w:val="21"/>
          <w:lang w:eastAsia="zh-CN"/>
        </w:rPr>
        <w:t>承包方施工人员下海游泳。</w:t>
      </w:r>
    </w:p>
    <w:p>
      <w:pPr>
        <w:pStyle w:val="61"/>
        <w:numPr>
          <w:ilvl w:val="0"/>
          <w:numId w:val="32"/>
        </w:numPr>
        <w:tabs>
          <w:tab w:val="left" w:pos="1057"/>
        </w:tabs>
        <w:spacing w:line="474" w:lineRule="exact"/>
        <w:ind w:firstLine="480"/>
        <w:jc w:val="both"/>
        <w:rPr>
          <w:sz w:val="21"/>
          <w:szCs w:val="21"/>
          <w:lang w:eastAsia="zh-CN"/>
        </w:rPr>
      </w:pPr>
      <w:bookmarkStart w:id="151" w:name="bookmark869"/>
      <w:bookmarkEnd w:id="151"/>
      <w:r>
        <w:rPr>
          <w:sz w:val="21"/>
          <w:szCs w:val="21"/>
          <w:lang w:eastAsia="zh-CN"/>
        </w:rPr>
        <w:t>其他违反《电业安全工作规程》、《电力建设安全工作规程》、《电力设备典型消防规程》、《不安全事件管理标准》及《习惯性违章行为考核》《劳动纪律及文明生产考核》等规章制度的行为。</w:t>
      </w:r>
    </w:p>
    <w:p>
      <w:pPr>
        <w:pStyle w:val="61"/>
        <w:numPr>
          <w:ilvl w:val="0"/>
          <w:numId w:val="33"/>
        </w:numPr>
        <w:tabs>
          <w:tab w:val="left" w:pos="826"/>
        </w:tabs>
        <w:spacing w:line="474" w:lineRule="exact"/>
        <w:ind w:firstLine="480"/>
        <w:jc w:val="both"/>
        <w:rPr>
          <w:sz w:val="21"/>
          <w:szCs w:val="21"/>
          <w:lang w:eastAsia="zh-CN"/>
        </w:rPr>
      </w:pPr>
      <w:bookmarkStart w:id="152" w:name="bookmark870"/>
      <w:bookmarkEnd w:id="152"/>
      <w:r>
        <w:rPr>
          <w:sz w:val="21"/>
          <w:szCs w:val="21"/>
          <w:lang w:eastAsia="zh-CN"/>
        </w:rPr>
        <w:t>施工中土方、垃圾、废料等未定期清除或乱堆乱放导致影响总平面貌的，每处扣罚</w:t>
      </w:r>
      <w:r>
        <w:rPr>
          <w:rFonts w:cs="Times New Roman"/>
          <w:sz w:val="21"/>
          <w:szCs w:val="21"/>
          <w:lang w:eastAsia="zh-CN"/>
        </w:rPr>
        <w:t>1000</w:t>
      </w:r>
      <w:r>
        <w:rPr>
          <w:rFonts w:cs="Times New Roman"/>
          <w:sz w:val="21"/>
          <w:szCs w:val="21"/>
          <w:lang w:val="en-US" w:eastAsia="zh-CN" w:bidi="en-US"/>
        </w:rPr>
        <w:t>-</w:t>
      </w:r>
      <w:r>
        <w:rPr>
          <w:rFonts w:cs="Times New Roman"/>
          <w:sz w:val="21"/>
          <w:szCs w:val="21"/>
          <w:lang w:eastAsia="zh-CN"/>
        </w:rPr>
        <w:t>20000</w:t>
      </w:r>
      <w:r>
        <w:rPr>
          <w:sz w:val="21"/>
          <w:szCs w:val="21"/>
          <w:lang w:eastAsia="zh-CN"/>
        </w:rPr>
        <w:t>元。</w:t>
      </w:r>
    </w:p>
    <w:p>
      <w:pPr>
        <w:pStyle w:val="61"/>
        <w:numPr>
          <w:ilvl w:val="0"/>
          <w:numId w:val="33"/>
        </w:numPr>
        <w:tabs>
          <w:tab w:val="left" w:pos="831"/>
        </w:tabs>
        <w:spacing w:line="474" w:lineRule="exact"/>
        <w:ind w:firstLine="480"/>
        <w:jc w:val="both"/>
        <w:rPr>
          <w:sz w:val="21"/>
          <w:szCs w:val="21"/>
          <w:lang w:eastAsia="zh-CN"/>
        </w:rPr>
      </w:pPr>
      <w:bookmarkStart w:id="153" w:name="bookmark871"/>
      <w:bookmarkEnd w:id="153"/>
      <w:r>
        <w:rPr>
          <w:sz w:val="21"/>
          <w:szCs w:val="21"/>
          <w:lang w:eastAsia="zh-CN"/>
        </w:rPr>
        <w:t>现场设备、材料、工器具乱堆乱放，未按定置化管理，每处扣罚</w:t>
      </w:r>
      <w:r>
        <w:rPr>
          <w:rFonts w:cs="Times New Roman"/>
          <w:sz w:val="21"/>
          <w:szCs w:val="21"/>
          <w:lang w:eastAsia="zh-CN"/>
        </w:rPr>
        <w:t>200</w:t>
      </w:r>
      <w:r>
        <w:rPr>
          <w:rFonts w:cs="Times New Roman"/>
          <w:sz w:val="21"/>
          <w:szCs w:val="21"/>
          <w:lang w:val="en-US" w:eastAsia="zh-CN" w:bidi="en-US"/>
        </w:rPr>
        <w:t>-</w:t>
      </w:r>
      <w:r>
        <w:rPr>
          <w:rFonts w:cs="Times New Roman"/>
          <w:sz w:val="21"/>
          <w:szCs w:val="21"/>
          <w:lang w:eastAsia="zh-CN"/>
        </w:rPr>
        <w:t>2000</w:t>
      </w:r>
      <w:r>
        <w:rPr>
          <w:sz w:val="21"/>
          <w:szCs w:val="21"/>
          <w:lang w:eastAsia="zh-CN"/>
        </w:rPr>
        <w:t>元。</w:t>
      </w:r>
    </w:p>
    <w:p>
      <w:pPr>
        <w:pStyle w:val="61"/>
        <w:numPr>
          <w:ilvl w:val="0"/>
          <w:numId w:val="33"/>
        </w:numPr>
        <w:tabs>
          <w:tab w:val="left" w:pos="932"/>
        </w:tabs>
        <w:spacing w:line="474" w:lineRule="exact"/>
        <w:ind w:firstLine="480"/>
        <w:jc w:val="both"/>
        <w:rPr>
          <w:sz w:val="21"/>
          <w:szCs w:val="21"/>
          <w:lang w:eastAsia="zh-CN"/>
        </w:rPr>
      </w:pPr>
      <w:bookmarkStart w:id="154" w:name="bookmark872"/>
      <w:bookmarkEnd w:id="154"/>
      <w:r>
        <w:rPr>
          <w:sz w:val="21"/>
          <w:szCs w:val="21"/>
          <w:lang w:eastAsia="zh-CN"/>
        </w:rPr>
        <w:t>施工现场烟头、焊条头、砖头、木头、钢筋头等不按时清理，每处扣罚</w:t>
      </w:r>
      <w:r>
        <w:rPr>
          <w:rFonts w:cs="Times New Roman"/>
          <w:sz w:val="21"/>
          <w:szCs w:val="21"/>
          <w:lang w:eastAsia="zh-CN"/>
        </w:rPr>
        <w:t>200</w:t>
      </w:r>
      <w:bookmarkStart w:id="155" w:name="bookmark873"/>
      <w:bookmarkEnd w:id="155"/>
      <w:r>
        <w:rPr>
          <w:rFonts w:hint="eastAsia"/>
          <w:sz w:val="21"/>
          <w:szCs w:val="21"/>
          <w:lang w:val="en-US" w:eastAsia="zh-CN"/>
        </w:rPr>
        <w:t>元。</w:t>
      </w:r>
    </w:p>
    <w:p>
      <w:pPr>
        <w:pStyle w:val="61"/>
        <w:numPr>
          <w:ilvl w:val="0"/>
          <w:numId w:val="33"/>
        </w:numPr>
        <w:tabs>
          <w:tab w:val="left" w:pos="932"/>
        </w:tabs>
        <w:spacing w:line="474" w:lineRule="exact"/>
        <w:ind w:firstLine="480"/>
        <w:jc w:val="both"/>
        <w:rPr>
          <w:sz w:val="21"/>
          <w:szCs w:val="21"/>
          <w:lang w:eastAsia="zh-CN"/>
        </w:rPr>
      </w:pPr>
      <w:r>
        <w:rPr>
          <w:sz w:val="21"/>
          <w:szCs w:val="21"/>
          <w:lang w:eastAsia="zh-CN"/>
        </w:rPr>
        <w:t>施工现场垃圾箱或废料箱未定期清理，每处扣罚</w:t>
      </w:r>
      <w:r>
        <w:rPr>
          <w:rFonts w:cs="Times New Roman"/>
          <w:sz w:val="21"/>
          <w:szCs w:val="21"/>
          <w:lang w:eastAsia="zh-CN"/>
        </w:rPr>
        <w:t>200</w:t>
      </w:r>
      <w:r>
        <w:rPr>
          <w:rFonts w:cs="Times New Roman"/>
          <w:sz w:val="21"/>
          <w:szCs w:val="21"/>
          <w:lang w:val="en-US" w:eastAsia="zh-CN" w:bidi="en-US"/>
        </w:rPr>
        <w:t>-</w:t>
      </w:r>
      <w:r>
        <w:rPr>
          <w:rFonts w:cs="Times New Roman"/>
          <w:sz w:val="21"/>
          <w:szCs w:val="21"/>
          <w:lang w:eastAsia="zh-CN"/>
        </w:rPr>
        <w:t>1000</w:t>
      </w:r>
      <w:r>
        <w:rPr>
          <w:sz w:val="21"/>
          <w:szCs w:val="21"/>
          <w:lang w:eastAsia="zh-CN"/>
        </w:rPr>
        <w:t>元。</w:t>
      </w:r>
    </w:p>
    <w:p>
      <w:pPr>
        <w:pStyle w:val="61"/>
        <w:numPr>
          <w:ilvl w:val="0"/>
          <w:numId w:val="33"/>
        </w:numPr>
        <w:tabs>
          <w:tab w:val="left" w:pos="939"/>
        </w:tabs>
        <w:spacing w:line="461" w:lineRule="exact"/>
        <w:ind w:firstLine="480"/>
        <w:rPr>
          <w:sz w:val="21"/>
          <w:szCs w:val="21"/>
          <w:lang w:eastAsia="zh-CN"/>
        </w:rPr>
      </w:pPr>
      <w:bookmarkStart w:id="156" w:name="bookmark874"/>
      <w:bookmarkEnd w:id="156"/>
      <w:r>
        <w:rPr>
          <w:sz w:val="21"/>
          <w:szCs w:val="21"/>
          <w:lang w:eastAsia="zh-CN"/>
        </w:rPr>
        <w:t>现场厕所卫生脏、乱、差，每处扣罚</w:t>
      </w:r>
      <w:r>
        <w:rPr>
          <w:rFonts w:cs="Times New Roman"/>
          <w:sz w:val="21"/>
          <w:szCs w:val="21"/>
          <w:lang w:val="en-US" w:eastAsia="zh-CN" w:bidi="en-US"/>
        </w:rPr>
        <w:t>200-2000</w:t>
      </w:r>
      <w:r>
        <w:rPr>
          <w:sz w:val="21"/>
          <w:szCs w:val="21"/>
          <w:lang w:eastAsia="zh-CN"/>
        </w:rPr>
        <w:t>元。</w:t>
      </w:r>
    </w:p>
    <w:p>
      <w:pPr>
        <w:pStyle w:val="61"/>
        <w:numPr>
          <w:ilvl w:val="0"/>
          <w:numId w:val="33"/>
        </w:numPr>
        <w:tabs>
          <w:tab w:val="left" w:pos="963"/>
        </w:tabs>
        <w:spacing w:line="461" w:lineRule="exact"/>
        <w:ind w:firstLine="500"/>
        <w:jc w:val="both"/>
        <w:rPr>
          <w:sz w:val="21"/>
          <w:szCs w:val="21"/>
          <w:lang w:eastAsia="zh-CN"/>
        </w:rPr>
      </w:pPr>
      <w:bookmarkStart w:id="157" w:name="bookmark875"/>
      <w:bookmarkEnd w:id="157"/>
      <w:r>
        <w:rPr>
          <w:sz w:val="21"/>
          <w:szCs w:val="21"/>
          <w:lang w:eastAsia="zh-CN"/>
        </w:rPr>
        <w:t>运输或卸运水泥或其它易飞扬的细颗粒散体材料时，遗洒飞扬严重，污染施工环境，每例扣罚</w:t>
      </w:r>
      <w:r>
        <w:rPr>
          <w:rFonts w:cs="Times New Roman"/>
          <w:sz w:val="21"/>
          <w:szCs w:val="21"/>
          <w:lang w:eastAsia="zh-CN"/>
        </w:rPr>
        <w:t>500</w:t>
      </w:r>
      <w:r>
        <w:rPr>
          <w:rFonts w:cs="Times New Roman"/>
          <w:sz w:val="21"/>
          <w:szCs w:val="21"/>
          <w:lang w:val="en-US" w:eastAsia="zh-CN" w:bidi="en-US"/>
        </w:rPr>
        <w:t>-</w:t>
      </w:r>
      <w:r>
        <w:rPr>
          <w:rFonts w:cs="Times New Roman"/>
          <w:sz w:val="21"/>
          <w:szCs w:val="21"/>
          <w:lang w:eastAsia="zh-CN"/>
        </w:rPr>
        <w:t>2000</w:t>
      </w:r>
      <w:r>
        <w:rPr>
          <w:sz w:val="21"/>
          <w:szCs w:val="21"/>
          <w:lang w:eastAsia="zh-CN"/>
        </w:rPr>
        <w:t>元。</w:t>
      </w:r>
    </w:p>
    <w:p>
      <w:pPr>
        <w:pStyle w:val="61"/>
        <w:numPr>
          <w:ilvl w:val="0"/>
          <w:numId w:val="33"/>
        </w:numPr>
        <w:tabs>
          <w:tab w:val="left" w:pos="939"/>
        </w:tabs>
        <w:spacing w:line="461" w:lineRule="exact"/>
        <w:ind w:firstLine="480"/>
        <w:jc w:val="both"/>
        <w:rPr>
          <w:sz w:val="21"/>
          <w:szCs w:val="21"/>
          <w:lang w:eastAsia="zh-CN"/>
        </w:rPr>
      </w:pPr>
      <w:bookmarkStart w:id="158" w:name="bookmark876"/>
      <w:bookmarkEnd w:id="158"/>
      <w:r>
        <w:rPr>
          <w:sz w:val="21"/>
          <w:szCs w:val="21"/>
          <w:lang w:eastAsia="zh-CN"/>
        </w:rPr>
        <w:t>现场地面存在积水凹坑，路面不平整，每处扣罚</w:t>
      </w:r>
      <w:r>
        <w:rPr>
          <w:rFonts w:cs="Times New Roman"/>
          <w:sz w:val="21"/>
          <w:szCs w:val="21"/>
          <w:lang w:eastAsia="zh-CN"/>
        </w:rPr>
        <w:t>100</w:t>
      </w:r>
      <w:r>
        <w:rPr>
          <w:rFonts w:cs="Times New Roman"/>
          <w:sz w:val="21"/>
          <w:szCs w:val="21"/>
          <w:lang w:val="en-US" w:eastAsia="zh-CN" w:bidi="en-US"/>
        </w:rPr>
        <w:t>-</w:t>
      </w:r>
      <w:r>
        <w:rPr>
          <w:rFonts w:cs="Times New Roman"/>
          <w:sz w:val="21"/>
          <w:szCs w:val="21"/>
          <w:lang w:eastAsia="zh-CN"/>
        </w:rPr>
        <w:t>1000</w:t>
      </w:r>
      <w:r>
        <w:rPr>
          <w:sz w:val="21"/>
          <w:szCs w:val="21"/>
          <w:lang w:eastAsia="zh-CN"/>
        </w:rPr>
        <w:t>元。</w:t>
      </w:r>
    </w:p>
    <w:p>
      <w:pPr>
        <w:pStyle w:val="61"/>
        <w:numPr>
          <w:ilvl w:val="0"/>
          <w:numId w:val="33"/>
        </w:numPr>
        <w:tabs>
          <w:tab w:val="left" w:pos="939"/>
        </w:tabs>
        <w:spacing w:line="461" w:lineRule="exact"/>
        <w:ind w:firstLine="480"/>
        <w:jc w:val="both"/>
        <w:rPr>
          <w:sz w:val="21"/>
          <w:szCs w:val="21"/>
          <w:lang w:eastAsia="zh-CN"/>
        </w:rPr>
      </w:pPr>
      <w:bookmarkStart w:id="159" w:name="bookmark877"/>
      <w:bookmarkEnd w:id="159"/>
      <w:r>
        <w:rPr>
          <w:sz w:val="21"/>
          <w:szCs w:val="21"/>
          <w:lang w:eastAsia="zh-CN"/>
        </w:rPr>
        <w:t>施工现场的草坪或树木故意损坏，每处扣罚</w:t>
      </w:r>
      <w:r>
        <w:rPr>
          <w:rFonts w:cs="Times New Roman"/>
          <w:sz w:val="21"/>
          <w:szCs w:val="21"/>
          <w:lang w:eastAsia="zh-CN"/>
        </w:rPr>
        <w:t>200</w:t>
      </w:r>
      <w:r>
        <w:rPr>
          <w:rFonts w:cs="Times New Roman"/>
          <w:sz w:val="21"/>
          <w:szCs w:val="21"/>
          <w:lang w:val="en-US" w:eastAsia="zh-CN" w:bidi="en-US"/>
        </w:rPr>
        <w:t>-</w:t>
      </w:r>
      <w:r>
        <w:rPr>
          <w:rFonts w:cs="Times New Roman"/>
          <w:sz w:val="21"/>
          <w:szCs w:val="21"/>
          <w:lang w:eastAsia="zh-CN"/>
        </w:rPr>
        <w:t>2000</w:t>
      </w:r>
      <w:r>
        <w:rPr>
          <w:sz w:val="21"/>
          <w:szCs w:val="21"/>
          <w:lang w:eastAsia="zh-CN"/>
        </w:rPr>
        <w:t>元。</w:t>
      </w:r>
    </w:p>
    <w:p>
      <w:pPr>
        <w:pStyle w:val="61"/>
        <w:numPr>
          <w:ilvl w:val="0"/>
          <w:numId w:val="33"/>
        </w:numPr>
        <w:tabs>
          <w:tab w:val="left" w:pos="939"/>
        </w:tabs>
        <w:spacing w:line="461" w:lineRule="exact"/>
        <w:ind w:firstLine="480"/>
        <w:jc w:val="both"/>
        <w:rPr>
          <w:sz w:val="21"/>
          <w:szCs w:val="21"/>
          <w:lang w:eastAsia="zh-CN"/>
        </w:rPr>
      </w:pPr>
      <w:bookmarkStart w:id="160" w:name="bookmark878"/>
      <w:bookmarkEnd w:id="160"/>
      <w:r>
        <w:rPr>
          <w:sz w:val="21"/>
          <w:szCs w:val="21"/>
          <w:lang w:eastAsia="zh-CN"/>
        </w:rPr>
        <w:t>施工作业区随地吐痰、便溺、乱丢瓜皮果壳、纸屑杂物，每处扣罚100</w:t>
      </w:r>
      <w:r>
        <w:rPr>
          <w:sz w:val="21"/>
          <w:szCs w:val="21"/>
          <w:lang w:val="en-US" w:eastAsia="zh-CN"/>
        </w:rPr>
        <w:t>-</w:t>
      </w:r>
      <w:r>
        <w:rPr>
          <w:sz w:val="21"/>
          <w:szCs w:val="21"/>
          <w:lang w:eastAsia="zh-CN"/>
        </w:rPr>
        <w:t>500</w:t>
      </w:r>
      <w:r>
        <w:rPr>
          <w:rFonts w:hint="eastAsia"/>
          <w:sz w:val="21"/>
          <w:szCs w:val="21"/>
          <w:lang w:val="en-US" w:eastAsia="zh-CN"/>
        </w:rPr>
        <w:t>元。</w:t>
      </w:r>
    </w:p>
    <w:p>
      <w:pPr>
        <w:pStyle w:val="61"/>
        <w:numPr>
          <w:ilvl w:val="0"/>
          <w:numId w:val="33"/>
        </w:numPr>
        <w:tabs>
          <w:tab w:val="left" w:pos="956"/>
        </w:tabs>
        <w:spacing w:line="454" w:lineRule="exact"/>
        <w:ind w:firstLine="500"/>
        <w:jc w:val="both"/>
        <w:rPr>
          <w:sz w:val="21"/>
          <w:szCs w:val="21"/>
          <w:lang w:eastAsia="zh-CN"/>
        </w:rPr>
      </w:pPr>
      <w:bookmarkStart w:id="161" w:name="bookmark879"/>
      <w:bookmarkEnd w:id="161"/>
      <w:r>
        <w:rPr>
          <w:sz w:val="21"/>
          <w:szCs w:val="21"/>
          <w:lang w:eastAsia="zh-CN"/>
        </w:rPr>
        <w:t>道路、场地、通道的文明施工不合格，道牙不整齐、沟道盖板及井盖短缺更换不及时，每处扣罚</w:t>
      </w:r>
      <w:r>
        <w:rPr>
          <w:rFonts w:cs="Times New Roman"/>
          <w:sz w:val="21"/>
          <w:szCs w:val="21"/>
          <w:lang w:eastAsia="zh-CN"/>
        </w:rPr>
        <w:t>200</w:t>
      </w:r>
      <w:r>
        <w:rPr>
          <w:rFonts w:cs="Times New Roman"/>
          <w:sz w:val="21"/>
          <w:szCs w:val="21"/>
          <w:lang w:val="en-US" w:eastAsia="zh-CN" w:bidi="en-US"/>
        </w:rPr>
        <w:t>-</w:t>
      </w:r>
      <w:r>
        <w:rPr>
          <w:rFonts w:cs="Times New Roman"/>
          <w:sz w:val="21"/>
          <w:szCs w:val="21"/>
          <w:lang w:eastAsia="zh-CN"/>
        </w:rPr>
        <w:t>2000</w:t>
      </w:r>
      <w:r>
        <w:rPr>
          <w:sz w:val="21"/>
          <w:szCs w:val="21"/>
          <w:lang w:eastAsia="zh-CN"/>
        </w:rPr>
        <w:t>元。</w:t>
      </w:r>
    </w:p>
    <w:p>
      <w:pPr>
        <w:pStyle w:val="61"/>
        <w:numPr>
          <w:ilvl w:val="0"/>
          <w:numId w:val="33"/>
        </w:numPr>
        <w:tabs>
          <w:tab w:val="left" w:pos="970"/>
        </w:tabs>
        <w:spacing w:line="468" w:lineRule="exact"/>
        <w:ind w:firstLine="500"/>
        <w:jc w:val="both"/>
        <w:rPr>
          <w:sz w:val="21"/>
          <w:szCs w:val="21"/>
          <w:lang w:eastAsia="zh-CN"/>
        </w:rPr>
      </w:pPr>
      <w:bookmarkStart w:id="162" w:name="bookmark880"/>
      <w:bookmarkEnd w:id="162"/>
      <w:r>
        <w:rPr>
          <w:sz w:val="21"/>
          <w:szCs w:val="21"/>
          <w:lang w:eastAsia="zh-CN"/>
        </w:rPr>
        <w:t>施工作业现场有垃圾、杂物等影响文明施工或影响到环境卫生时，每处扣罚</w:t>
      </w:r>
      <w:r>
        <w:rPr>
          <w:rFonts w:cs="Times New Roman"/>
          <w:sz w:val="21"/>
          <w:szCs w:val="21"/>
          <w:lang w:eastAsia="zh-CN"/>
        </w:rPr>
        <w:t>200</w:t>
      </w:r>
      <w:r>
        <w:rPr>
          <w:rFonts w:cs="Times New Roman"/>
          <w:sz w:val="21"/>
          <w:szCs w:val="21"/>
          <w:lang w:val="en-US" w:eastAsia="zh-CN" w:bidi="en-US"/>
        </w:rPr>
        <w:t>-</w:t>
      </w:r>
      <w:r>
        <w:rPr>
          <w:rFonts w:cs="Times New Roman"/>
          <w:sz w:val="21"/>
          <w:szCs w:val="21"/>
          <w:lang w:eastAsia="zh-CN"/>
        </w:rPr>
        <w:t>2000</w:t>
      </w:r>
      <w:r>
        <w:rPr>
          <w:sz w:val="21"/>
          <w:szCs w:val="21"/>
          <w:lang w:eastAsia="zh-CN"/>
        </w:rPr>
        <w:t>元。</w:t>
      </w:r>
    </w:p>
    <w:p>
      <w:pPr>
        <w:pStyle w:val="61"/>
        <w:numPr>
          <w:ilvl w:val="0"/>
          <w:numId w:val="33"/>
        </w:numPr>
        <w:tabs>
          <w:tab w:val="left" w:pos="959"/>
        </w:tabs>
        <w:spacing w:after="240" w:line="468" w:lineRule="exact"/>
        <w:ind w:firstLine="500"/>
        <w:jc w:val="both"/>
        <w:rPr>
          <w:sz w:val="21"/>
          <w:szCs w:val="21"/>
          <w:lang w:eastAsia="zh-CN"/>
        </w:rPr>
      </w:pPr>
      <w:bookmarkStart w:id="163" w:name="bookmark881"/>
      <w:bookmarkEnd w:id="163"/>
      <w:r>
        <w:rPr>
          <w:sz w:val="21"/>
          <w:szCs w:val="21"/>
          <w:lang w:eastAsia="zh-CN"/>
        </w:rPr>
        <w:t>施工厂区围墙、防汛沟不符合安全文明施工要求，每处、段扣罚</w:t>
      </w:r>
      <w:r>
        <w:rPr>
          <w:rFonts w:cs="Times New Roman"/>
          <w:sz w:val="21"/>
          <w:szCs w:val="21"/>
          <w:lang w:eastAsia="zh-CN"/>
        </w:rPr>
        <w:t>500</w:t>
      </w:r>
      <w:r>
        <w:rPr>
          <w:rFonts w:cs="Times New Roman"/>
          <w:sz w:val="21"/>
          <w:szCs w:val="21"/>
          <w:lang w:val="en-US" w:eastAsia="zh-CN" w:bidi="en-US"/>
        </w:rPr>
        <w:t>-</w:t>
      </w:r>
      <w:r>
        <w:rPr>
          <w:rFonts w:cs="Times New Roman"/>
          <w:sz w:val="21"/>
          <w:szCs w:val="21"/>
          <w:lang w:eastAsia="zh-CN"/>
        </w:rPr>
        <w:t>3000</w:t>
      </w:r>
      <w:r>
        <w:rPr>
          <w:rFonts w:hint="eastAsia" w:cs="Times New Roman"/>
          <w:sz w:val="21"/>
          <w:szCs w:val="21"/>
          <w:lang w:val="en-US" w:eastAsia="zh-CN"/>
        </w:rPr>
        <w:t>元。</w:t>
      </w:r>
    </w:p>
    <w:p>
      <w:pPr>
        <w:pStyle w:val="61"/>
        <w:numPr>
          <w:ilvl w:val="0"/>
          <w:numId w:val="33"/>
        </w:numPr>
        <w:tabs>
          <w:tab w:val="left" w:pos="981"/>
        </w:tabs>
        <w:spacing w:line="473" w:lineRule="exact"/>
        <w:ind w:firstLine="500"/>
        <w:jc w:val="both"/>
        <w:rPr>
          <w:sz w:val="21"/>
          <w:szCs w:val="21"/>
          <w:lang w:eastAsia="zh-CN"/>
        </w:rPr>
      </w:pPr>
      <w:bookmarkStart w:id="164" w:name="bookmark882"/>
      <w:bookmarkEnd w:id="164"/>
      <w:r>
        <w:rPr>
          <w:sz w:val="21"/>
          <w:szCs w:val="21"/>
          <w:lang w:eastAsia="zh-CN"/>
        </w:rPr>
        <w:t>垃圾处理未进行日产日清或乱堆、乱放、乱倒垃圾，每次扣罚</w:t>
      </w:r>
      <w:r>
        <w:rPr>
          <w:rFonts w:cs="Times New Roman"/>
          <w:sz w:val="21"/>
          <w:szCs w:val="21"/>
          <w:lang w:eastAsia="zh-CN"/>
        </w:rPr>
        <w:t>200</w:t>
      </w:r>
      <w:r>
        <w:rPr>
          <w:rFonts w:cs="Times New Roman"/>
          <w:sz w:val="21"/>
          <w:szCs w:val="21"/>
          <w:lang w:val="en-US" w:eastAsia="zh-CN" w:bidi="en-US"/>
        </w:rPr>
        <w:t>-</w:t>
      </w:r>
      <w:r>
        <w:rPr>
          <w:rFonts w:cs="Times New Roman"/>
          <w:sz w:val="21"/>
          <w:szCs w:val="21"/>
          <w:lang w:eastAsia="zh-CN"/>
        </w:rPr>
        <w:t>3000</w:t>
      </w:r>
      <w:r>
        <w:rPr>
          <w:sz w:val="21"/>
          <w:szCs w:val="21"/>
          <w:lang w:eastAsia="zh-CN"/>
        </w:rPr>
        <w:t>元。</w:t>
      </w:r>
    </w:p>
    <w:p>
      <w:pPr>
        <w:pStyle w:val="61"/>
        <w:numPr>
          <w:ilvl w:val="0"/>
          <w:numId w:val="33"/>
        </w:numPr>
        <w:tabs>
          <w:tab w:val="left" w:pos="981"/>
        </w:tabs>
        <w:spacing w:line="473" w:lineRule="exact"/>
        <w:ind w:firstLine="500"/>
        <w:jc w:val="both"/>
        <w:rPr>
          <w:sz w:val="21"/>
          <w:szCs w:val="21"/>
          <w:lang w:eastAsia="zh-CN"/>
        </w:rPr>
      </w:pPr>
      <w:bookmarkStart w:id="165" w:name="bookmark883"/>
      <w:bookmarkEnd w:id="165"/>
      <w:r>
        <w:rPr>
          <w:sz w:val="21"/>
          <w:szCs w:val="21"/>
          <w:lang w:eastAsia="zh-CN"/>
        </w:rPr>
        <w:t>车辆行驶及冲洗车时对厂区环境、道路造成污染，每辆次扣罚</w:t>
      </w:r>
      <w:r>
        <w:rPr>
          <w:rFonts w:cs="Times New Roman"/>
          <w:sz w:val="21"/>
          <w:szCs w:val="21"/>
          <w:lang w:eastAsia="zh-CN"/>
        </w:rPr>
        <w:t>1</w:t>
      </w:r>
      <w:r>
        <w:rPr>
          <w:rFonts w:cs="Times New Roman"/>
          <w:sz w:val="21"/>
          <w:szCs w:val="21"/>
          <w:lang w:val="en-US" w:eastAsia="zh-CN" w:bidi="en-US"/>
        </w:rPr>
        <w:t>00-1000</w:t>
      </w:r>
      <w:r>
        <w:rPr>
          <w:sz w:val="21"/>
          <w:szCs w:val="21"/>
          <w:lang w:eastAsia="zh-CN"/>
        </w:rPr>
        <w:t>元。</w:t>
      </w:r>
    </w:p>
    <w:p>
      <w:pPr>
        <w:pStyle w:val="61"/>
        <w:numPr>
          <w:ilvl w:val="0"/>
          <w:numId w:val="33"/>
        </w:numPr>
        <w:tabs>
          <w:tab w:val="left" w:pos="956"/>
        </w:tabs>
        <w:spacing w:line="473" w:lineRule="exact"/>
        <w:ind w:firstLine="500"/>
        <w:jc w:val="both"/>
        <w:rPr>
          <w:sz w:val="21"/>
          <w:szCs w:val="21"/>
          <w:lang w:eastAsia="zh-CN"/>
        </w:rPr>
      </w:pPr>
      <w:bookmarkStart w:id="166" w:name="bookmark884"/>
      <w:bookmarkEnd w:id="166"/>
      <w:r>
        <w:rPr>
          <w:sz w:val="21"/>
          <w:szCs w:val="21"/>
          <w:lang w:eastAsia="zh-CN"/>
        </w:rPr>
        <w:t>施工建筑屋顶漏水或屋顶卫生不合格、乱堆杂物影响文明施工，每处扣罚</w:t>
      </w:r>
      <w:r>
        <w:rPr>
          <w:rFonts w:cs="Times New Roman"/>
          <w:sz w:val="21"/>
          <w:szCs w:val="21"/>
          <w:lang w:eastAsia="zh-CN"/>
        </w:rPr>
        <w:t>500</w:t>
      </w:r>
      <w:r>
        <w:rPr>
          <w:rFonts w:cs="Times New Roman"/>
          <w:sz w:val="21"/>
          <w:szCs w:val="21"/>
          <w:lang w:val="en-US" w:eastAsia="zh-CN" w:bidi="en-US"/>
        </w:rPr>
        <w:t>-</w:t>
      </w:r>
      <w:r>
        <w:rPr>
          <w:rFonts w:cs="Times New Roman"/>
          <w:sz w:val="21"/>
          <w:szCs w:val="21"/>
          <w:lang w:eastAsia="zh-CN"/>
        </w:rPr>
        <w:t>3000</w:t>
      </w:r>
      <w:r>
        <w:rPr>
          <w:sz w:val="21"/>
          <w:szCs w:val="21"/>
          <w:lang w:eastAsia="zh-CN"/>
        </w:rPr>
        <w:t>元。</w:t>
      </w:r>
    </w:p>
    <w:p>
      <w:pPr>
        <w:pStyle w:val="61"/>
        <w:numPr>
          <w:ilvl w:val="0"/>
          <w:numId w:val="33"/>
        </w:numPr>
        <w:tabs>
          <w:tab w:val="left" w:pos="956"/>
        </w:tabs>
        <w:spacing w:line="473" w:lineRule="exact"/>
        <w:ind w:firstLine="500"/>
        <w:jc w:val="both"/>
        <w:rPr>
          <w:sz w:val="21"/>
          <w:szCs w:val="21"/>
          <w:lang w:eastAsia="zh-CN"/>
        </w:rPr>
      </w:pPr>
      <w:bookmarkStart w:id="167" w:name="bookmark885"/>
      <w:bookmarkEnd w:id="167"/>
      <w:r>
        <w:rPr>
          <w:sz w:val="21"/>
          <w:szCs w:val="21"/>
          <w:lang w:eastAsia="zh-CN"/>
        </w:rPr>
        <w:t>厂区道路、室内、施工现场照明无死角，重要地段、处所照明明亮，达不到要求，每处扣罚</w:t>
      </w:r>
      <w:r>
        <w:rPr>
          <w:rFonts w:cs="Times New Roman"/>
          <w:sz w:val="21"/>
          <w:szCs w:val="21"/>
          <w:lang w:val="en-US" w:eastAsia="zh-CN" w:bidi="en-US"/>
        </w:rPr>
        <w:t>200-2000</w:t>
      </w:r>
      <w:r>
        <w:rPr>
          <w:sz w:val="21"/>
          <w:szCs w:val="21"/>
          <w:lang w:eastAsia="zh-CN"/>
        </w:rPr>
        <w:t>元。</w:t>
      </w:r>
    </w:p>
    <w:p>
      <w:pPr>
        <w:pStyle w:val="61"/>
        <w:numPr>
          <w:ilvl w:val="0"/>
          <w:numId w:val="33"/>
        </w:numPr>
        <w:tabs>
          <w:tab w:val="left" w:pos="949"/>
        </w:tabs>
        <w:spacing w:line="473" w:lineRule="exact"/>
        <w:ind w:firstLine="500"/>
        <w:jc w:val="both"/>
        <w:rPr>
          <w:sz w:val="21"/>
          <w:szCs w:val="21"/>
          <w:lang w:eastAsia="zh-CN"/>
        </w:rPr>
      </w:pPr>
      <w:bookmarkStart w:id="168" w:name="bookmark886"/>
      <w:bookmarkEnd w:id="168"/>
      <w:r>
        <w:rPr>
          <w:sz w:val="21"/>
          <w:szCs w:val="21"/>
          <w:lang w:eastAsia="zh-CN"/>
        </w:rPr>
        <w:t>施工现场用油、油脂、油漆等污染其它设施或地面，（每点污染时间较长则加倍考核），每处扣罚</w:t>
      </w:r>
      <w:r>
        <w:rPr>
          <w:rFonts w:cs="Times New Roman"/>
          <w:sz w:val="21"/>
          <w:szCs w:val="21"/>
          <w:lang w:val="en-US" w:eastAsia="zh-CN" w:bidi="en-US"/>
        </w:rPr>
        <w:t>200-1000</w:t>
      </w:r>
      <w:r>
        <w:rPr>
          <w:sz w:val="21"/>
          <w:szCs w:val="21"/>
          <w:lang w:eastAsia="zh-CN"/>
        </w:rPr>
        <w:t>元。</w:t>
      </w:r>
    </w:p>
    <w:p>
      <w:pPr>
        <w:pStyle w:val="61"/>
        <w:numPr>
          <w:ilvl w:val="0"/>
          <w:numId w:val="33"/>
        </w:numPr>
        <w:tabs>
          <w:tab w:val="left" w:pos="961"/>
        </w:tabs>
        <w:spacing w:line="473" w:lineRule="exact"/>
        <w:ind w:firstLine="480"/>
        <w:rPr>
          <w:sz w:val="21"/>
          <w:szCs w:val="21"/>
          <w:lang w:eastAsia="zh-CN"/>
        </w:rPr>
      </w:pPr>
      <w:bookmarkStart w:id="169" w:name="bookmark887"/>
      <w:bookmarkEnd w:id="169"/>
      <w:r>
        <w:rPr>
          <w:sz w:val="21"/>
          <w:szCs w:val="21"/>
          <w:lang w:eastAsia="zh-CN"/>
        </w:rPr>
        <w:t>未办理手续，私自乱搭乱建临建设施，乱占场地的，每处扣罚</w:t>
      </w:r>
      <w:r>
        <w:rPr>
          <w:rFonts w:cs="Times New Roman"/>
          <w:sz w:val="21"/>
          <w:szCs w:val="21"/>
          <w:lang w:eastAsia="zh-CN"/>
        </w:rPr>
        <w:t>500</w:t>
      </w:r>
      <w:r>
        <w:rPr>
          <w:rFonts w:ascii="MS Gothic" w:hAnsi="MS Gothic" w:cs="MS Gothic"/>
          <w:sz w:val="21"/>
          <w:szCs w:val="21"/>
          <w:lang w:eastAsia="zh-CN"/>
        </w:rPr>
        <w:t>〜</w:t>
      </w:r>
      <w:r>
        <w:rPr>
          <w:rFonts w:cs="Times New Roman"/>
          <w:sz w:val="21"/>
          <w:szCs w:val="21"/>
          <w:lang w:eastAsia="zh-CN"/>
        </w:rPr>
        <w:t>10000</w:t>
      </w:r>
      <w:r>
        <w:rPr>
          <w:sz w:val="21"/>
          <w:szCs w:val="21"/>
          <w:lang w:eastAsia="zh-CN"/>
        </w:rPr>
        <w:t>元。</w:t>
      </w:r>
    </w:p>
    <w:p>
      <w:pPr>
        <w:pStyle w:val="61"/>
        <w:spacing w:line="473" w:lineRule="exact"/>
        <w:ind w:firstLine="480"/>
        <w:jc w:val="both"/>
        <w:rPr>
          <w:sz w:val="21"/>
          <w:szCs w:val="21"/>
        </w:rPr>
      </w:pPr>
      <w:r>
        <w:rPr>
          <w:sz w:val="21"/>
          <w:szCs w:val="21"/>
        </w:rPr>
        <w:t>三、其他</w:t>
      </w:r>
    </w:p>
    <w:p>
      <w:pPr>
        <w:pStyle w:val="61"/>
        <w:numPr>
          <w:ilvl w:val="0"/>
          <w:numId w:val="34"/>
        </w:numPr>
        <w:tabs>
          <w:tab w:val="left" w:pos="826"/>
        </w:tabs>
        <w:spacing w:line="482" w:lineRule="exact"/>
        <w:ind w:firstLine="500"/>
        <w:jc w:val="both"/>
        <w:rPr>
          <w:sz w:val="21"/>
          <w:szCs w:val="21"/>
          <w:lang w:eastAsia="zh-CN"/>
        </w:rPr>
      </w:pPr>
      <w:bookmarkStart w:id="170" w:name="bookmark888"/>
      <w:bookmarkEnd w:id="170"/>
      <w:r>
        <w:rPr>
          <w:sz w:val="21"/>
          <w:szCs w:val="21"/>
          <w:lang w:eastAsia="zh-CN"/>
        </w:rPr>
        <w:t>乙方应制定突发事件应急处理预案，成立领导小组，甲、乙双方每月召开一次安全生产例会（分析当月安全生产工作情况）。</w:t>
      </w:r>
      <w:r>
        <w:rPr>
          <w:rFonts w:hint="eastAsia"/>
          <w:color w:val="0070C0"/>
          <w:sz w:val="21"/>
          <w:szCs w:val="21"/>
          <w:lang w:eastAsia="zh-CN"/>
        </w:rPr>
        <w:t>建立健全安全生产应急响应和事故处置机制，组织制定工程项目的各类安全应急预案，并按计划组织培训和演练；监督乙方建立健全应急管理和救援体系，督促乙方制定工程项目的各类安全应急预案，并按计划组织培训和演练。协调</w:t>
      </w:r>
      <w:r>
        <w:rPr>
          <w:color w:val="0070C0"/>
          <w:sz w:val="21"/>
          <w:szCs w:val="21"/>
          <w:lang w:eastAsia="zh-CN"/>
        </w:rPr>
        <w:t>各参建单位和外部应急力</w:t>
      </w:r>
      <w:r>
        <w:rPr>
          <w:rFonts w:hint="eastAsia"/>
          <w:color w:val="0070C0"/>
          <w:sz w:val="21"/>
          <w:szCs w:val="21"/>
          <w:lang w:eastAsia="zh-CN"/>
        </w:rPr>
        <w:t>量</w:t>
      </w:r>
      <w:r>
        <w:rPr>
          <w:color w:val="0070C0"/>
          <w:sz w:val="21"/>
          <w:szCs w:val="21"/>
          <w:lang w:eastAsia="zh-CN"/>
        </w:rPr>
        <w:t>处理</w:t>
      </w:r>
      <w:r>
        <w:rPr>
          <w:rFonts w:hint="eastAsia"/>
          <w:color w:val="0070C0"/>
          <w:sz w:val="21"/>
          <w:szCs w:val="21"/>
          <w:lang w:eastAsia="zh-CN"/>
        </w:rPr>
        <w:t>突发事件的应急抢险和事故救援。</w:t>
      </w:r>
    </w:p>
    <w:p>
      <w:pPr>
        <w:pStyle w:val="61"/>
        <w:numPr>
          <w:ilvl w:val="0"/>
          <w:numId w:val="34"/>
        </w:numPr>
        <w:tabs>
          <w:tab w:val="left" w:pos="834"/>
        </w:tabs>
        <w:spacing w:line="475" w:lineRule="exact"/>
        <w:ind w:firstLine="500"/>
        <w:jc w:val="both"/>
        <w:rPr>
          <w:sz w:val="21"/>
          <w:szCs w:val="21"/>
          <w:lang w:eastAsia="zh-CN"/>
        </w:rPr>
      </w:pPr>
      <w:bookmarkStart w:id="171" w:name="bookmark889"/>
      <w:bookmarkEnd w:id="171"/>
      <w:r>
        <w:rPr>
          <w:sz w:val="21"/>
          <w:szCs w:val="21"/>
          <w:lang w:eastAsia="zh-CN"/>
        </w:rPr>
        <w:t>工程发生不安全情况时，属乙方负责，由乙方组织调查、分析和处理，甲方应给予配合，乙方应将调査报告及结论书面报甲方安全监督部门；发生较大的不安全事件时，根据《安全生产法》由相关部门组织调查和处理。</w:t>
      </w:r>
      <w:r>
        <w:rPr>
          <w:rFonts w:hint="eastAsia"/>
          <w:color w:val="0070C0"/>
          <w:sz w:val="21"/>
          <w:szCs w:val="21"/>
          <w:lang w:eastAsia="zh-CN"/>
        </w:rPr>
        <w:t>对发生的安全事故应按照“四不放过”的原则进行调查处理，并及时、如实上报，不得隐瞒不报或拖延上报。</w:t>
      </w:r>
    </w:p>
    <w:p>
      <w:pPr>
        <w:pStyle w:val="61"/>
        <w:numPr>
          <w:ilvl w:val="0"/>
          <w:numId w:val="34"/>
        </w:numPr>
        <w:tabs>
          <w:tab w:val="left" w:pos="834"/>
        </w:tabs>
        <w:spacing w:line="482" w:lineRule="exact"/>
        <w:ind w:firstLine="520"/>
        <w:jc w:val="both"/>
        <w:rPr>
          <w:sz w:val="21"/>
          <w:szCs w:val="21"/>
          <w:lang w:eastAsia="zh-CN"/>
        </w:rPr>
      </w:pPr>
      <w:bookmarkStart w:id="172" w:name="bookmark890"/>
      <w:bookmarkEnd w:id="172"/>
      <w:r>
        <w:rPr>
          <w:sz w:val="21"/>
          <w:szCs w:val="21"/>
          <w:lang w:eastAsia="zh-CN"/>
        </w:rPr>
        <w:t>未尽事宜由甲、乙双方根据《中华人民共和国安全生产法》及甲方行业相关规定协商解决。</w:t>
      </w:r>
    </w:p>
    <w:p>
      <w:pPr>
        <w:pStyle w:val="61"/>
        <w:numPr>
          <w:ilvl w:val="0"/>
          <w:numId w:val="34"/>
        </w:numPr>
        <w:tabs>
          <w:tab w:val="left" w:pos="826"/>
        </w:tabs>
        <w:spacing w:after="280" w:line="472" w:lineRule="exact"/>
        <w:ind w:firstLine="520"/>
        <w:jc w:val="both"/>
        <w:rPr>
          <w:sz w:val="21"/>
          <w:szCs w:val="21"/>
          <w:lang w:eastAsia="zh-CN"/>
        </w:rPr>
      </w:pPr>
      <w:bookmarkStart w:id="173" w:name="bookmark891"/>
      <w:bookmarkEnd w:id="173"/>
      <w:r>
        <w:rPr>
          <w:sz w:val="21"/>
          <w:szCs w:val="21"/>
          <w:lang w:eastAsia="zh-CN"/>
        </w:rPr>
        <w:t>本协议一式肆份，甲方执</w:t>
      </w:r>
      <w:r>
        <w:rPr>
          <w:rFonts w:hint="eastAsia"/>
          <w:sz w:val="21"/>
          <w:szCs w:val="21"/>
          <w:lang w:eastAsia="zh-CN"/>
        </w:rPr>
        <w:t>贰</w:t>
      </w:r>
      <w:r>
        <w:rPr>
          <w:sz w:val="21"/>
          <w:szCs w:val="21"/>
          <w:lang w:eastAsia="zh-CN"/>
        </w:rPr>
        <w:t>份，乙方执贰份，并经双方签字盖章后生效，具有同等法律效力。本协议作为合同附件，与合同具有同等的法律效力，经双方签字盖章后随合同生效而生效，随合同终止而终止。</w:t>
      </w:r>
    </w:p>
    <w:p>
      <w:pPr>
        <w:spacing w:line="468" w:lineRule="exact"/>
        <w:ind w:firstLine="580"/>
        <w:jc w:val="both"/>
        <w:rPr>
          <w:rFonts w:ascii="宋体" w:hAnsi="宋体"/>
          <w:sz w:val="21"/>
          <w:szCs w:val="21"/>
        </w:rPr>
      </w:pPr>
      <w:r>
        <w:rPr>
          <w:rFonts w:ascii="宋体" w:hAnsi="宋体"/>
          <w:sz w:val="21"/>
          <w:szCs w:val="21"/>
        </w:rPr>
        <w:t xml:space="preserve">甲方：（盖章）           </w:t>
      </w:r>
      <w:r>
        <w:rPr>
          <w:rFonts w:hint="eastAsia" w:ascii="宋体" w:hAnsi="宋体"/>
          <w:sz w:val="21"/>
          <w:szCs w:val="21"/>
        </w:rPr>
        <w:t xml:space="preserve">                           </w:t>
      </w:r>
      <w:r>
        <w:rPr>
          <w:rFonts w:ascii="宋体" w:hAnsi="宋体"/>
          <w:sz w:val="21"/>
          <w:szCs w:val="21"/>
        </w:rPr>
        <w:t>乙方：（盖章）</w:t>
      </w:r>
    </w:p>
    <w:p>
      <w:pPr>
        <w:spacing w:line="429" w:lineRule="exact"/>
        <w:ind w:firstLine="580"/>
        <w:jc w:val="both"/>
        <w:rPr>
          <w:rFonts w:ascii="宋体" w:hAnsi="宋体"/>
          <w:sz w:val="21"/>
          <w:szCs w:val="21"/>
        </w:rPr>
      </w:pPr>
      <w:r>
        <w:rPr>
          <w:rFonts w:ascii="宋体" w:hAnsi="宋体"/>
          <w:sz w:val="21"/>
          <w:szCs w:val="21"/>
        </w:rPr>
        <w:t xml:space="preserve">法定代表人：                  </w:t>
      </w:r>
      <w:r>
        <w:rPr>
          <w:rFonts w:hint="eastAsia" w:ascii="宋体" w:hAnsi="宋体"/>
          <w:sz w:val="21"/>
          <w:szCs w:val="21"/>
        </w:rPr>
        <w:t xml:space="preserve">                      </w:t>
      </w:r>
      <w:r>
        <w:rPr>
          <w:rFonts w:ascii="宋体" w:hAnsi="宋体"/>
          <w:sz w:val="21"/>
          <w:szCs w:val="21"/>
        </w:rPr>
        <w:t>法定代表人：</w:t>
      </w:r>
    </w:p>
    <w:p>
      <w:pPr>
        <w:spacing w:after="60" w:line="429" w:lineRule="exact"/>
        <w:ind w:firstLine="580"/>
        <w:jc w:val="both"/>
        <w:rPr>
          <w:rFonts w:ascii="宋体" w:hAnsi="宋体"/>
          <w:sz w:val="21"/>
          <w:szCs w:val="21"/>
        </w:rPr>
      </w:pPr>
      <w:r>
        <w:rPr>
          <w:rFonts w:ascii="宋体" w:hAnsi="宋体"/>
          <w:sz w:val="21"/>
          <w:szCs w:val="21"/>
        </w:rPr>
        <w:t xml:space="preserve">或授权代表：                 </w:t>
      </w:r>
      <w:r>
        <w:rPr>
          <w:rFonts w:hint="eastAsia" w:ascii="宋体" w:hAnsi="宋体"/>
          <w:sz w:val="21"/>
          <w:szCs w:val="21"/>
        </w:rPr>
        <w:t xml:space="preserve">                       </w:t>
      </w:r>
      <w:r>
        <w:rPr>
          <w:rFonts w:ascii="宋体" w:hAnsi="宋体"/>
          <w:sz w:val="21"/>
          <w:szCs w:val="21"/>
        </w:rPr>
        <w:t>或授权代表：</w:t>
      </w:r>
    </w:p>
    <w:p>
      <w:pPr>
        <w:spacing w:after="60" w:line="429" w:lineRule="exact"/>
        <w:ind w:firstLine="580"/>
        <w:jc w:val="both"/>
        <w:rPr>
          <w:rFonts w:ascii="宋体" w:hAnsi="宋体"/>
          <w:sz w:val="21"/>
          <w:szCs w:val="21"/>
        </w:rPr>
      </w:pPr>
    </w:p>
    <w:p>
      <w:pPr>
        <w:spacing w:after="60" w:line="429" w:lineRule="exact"/>
        <w:ind w:firstLine="630" w:firstLineChars="300"/>
        <w:jc w:val="both"/>
        <w:rPr>
          <w:rFonts w:hint="eastAsia" w:ascii="宋体" w:hAnsi="宋体" w:cs="Courier New"/>
          <w:sz w:val="21"/>
          <w:szCs w:val="21"/>
        </w:rPr>
      </w:pPr>
      <w:r>
        <w:rPr>
          <w:rFonts w:ascii="宋体" w:hAnsi="宋体"/>
          <w:sz w:val="21"/>
          <w:szCs w:val="21"/>
        </w:rPr>
        <w:t>年</w:t>
      </w:r>
      <w:r>
        <w:rPr>
          <w:rFonts w:hint="eastAsia" w:ascii="宋体" w:hAnsi="宋体"/>
          <w:sz w:val="21"/>
          <w:szCs w:val="21"/>
        </w:rPr>
        <w:t xml:space="preserve"> </w:t>
      </w:r>
      <w:r>
        <w:rPr>
          <w:rFonts w:ascii="宋体" w:hAnsi="宋体"/>
          <w:sz w:val="21"/>
          <w:szCs w:val="21"/>
        </w:rPr>
        <w:t xml:space="preserve"> 月</w:t>
      </w:r>
      <w:r>
        <w:rPr>
          <w:rFonts w:hint="eastAsia" w:ascii="宋体" w:hAnsi="宋体"/>
          <w:sz w:val="21"/>
          <w:szCs w:val="21"/>
        </w:rPr>
        <w:t xml:space="preserve"> </w:t>
      </w:r>
      <w:r>
        <w:rPr>
          <w:rFonts w:ascii="宋体" w:hAnsi="宋体"/>
          <w:sz w:val="21"/>
          <w:szCs w:val="21"/>
        </w:rPr>
        <w:t xml:space="preserve">  日                                        年</w:t>
      </w:r>
      <w:r>
        <w:rPr>
          <w:rFonts w:hint="eastAsia" w:ascii="宋体" w:hAnsi="宋体"/>
          <w:sz w:val="21"/>
          <w:szCs w:val="21"/>
        </w:rPr>
        <w:t xml:space="preserve"> </w:t>
      </w:r>
      <w:r>
        <w:rPr>
          <w:rFonts w:ascii="宋体" w:hAnsi="宋体"/>
          <w:sz w:val="21"/>
          <w:szCs w:val="21"/>
        </w:rPr>
        <w:t xml:space="preserve"> 月</w:t>
      </w:r>
      <w:r>
        <w:rPr>
          <w:rFonts w:hint="eastAsia" w:ascii="宋体" w:hAnsi="宋体"/>
          <w:sz w:val="21"/>
          <w:szCs w:val="21"/>
        </w:rPr>
        <w:t xml:space="preserve"> </w:t>
      </w:r>
      <w:r>
        <w:rPr>
          <w:rFonts w:ascii="宋体" w:hAnsi="宋体"/>
          <w:sz w:val="21"/>
          <w:szCs w:val="21"/>
        </w:rPr>
        <w:t xml:space="preserve">  日</w:t>
      </w:r>
    </w:p>
    <w:p>
      <w:pPr>
        <w:spacing w:line="360" w:lineRule="auto"/>
        <w:jc w:val="center"/>
        <w:rPr>
          <w:rFonts w:ascii="宋体" w:hAnsi="宋体" w:cs="Courier New"/>
          <w:sz w:val="21"/>
          <w:szCs w:val="21"/>
        </w:rPr>
      </w:pPr>
    </w:p>
    <w:p>
      <w:pPr>
        <w:rPr>
          <w:rFonts w:hint="eastAsia" w:ascii="宋体" w:hAnsi="宋体" w:cs="Courier New"/>
          <w:sz w:val="21"/>
          <w:szCs w:val="21"/>
        </w:rPr>
      </w:pPr>
    </w:p>
    <w:sectPr>
      <w:headerReference r:id="rId7" w:type="first"/>
      <w:footerReference r:id="rId9" w:type="first"/>
      <w:footerReference r:id="rId8" w:type="default"/>
      <w:pgSz w:w="11906" w:h="16838"/>
      <w:pgMar w:top="1440" w:right="1416" w:bottom="1440" w:left="1418" w:header="170" w:footer="1093"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1040"/>
        <w:tab w:val="center" w:pos="4489"/>
      </w:tabs>
    </w:pPr>
    <w:r>
      <w:tab/>
    </w:r>
    <w:r>
      <w:tab/>
    </w:r>
    <w:r>
      <w:t>第</w:t>
    </w:r>
    <w:r>
      <w:fldChar w:fldCharType="begin"/>
    </w:r>
    <w:r>
      <w:instrText xml:space="preserve">PAGE   \* MERGEFORMAT</w:instrText>
    </w:r>
    <w:r>
      <w:fldChar w:fldCharType="separate"/>
    </w:r>
    <w:r>
      <w:rPr>
        <w:lang w:val="zh-CN"/>
      </w:rPr>
      <w:t>20</w:t>
    </w:r>
    <w:r>
      <w:fldChar w:fldCharType="end"/>
    </w:r>
    <w:r>
      <w:t>页，共</w:t>
    </w:r>
    <w:r>
      <w:rPr>
        <w:rFonts w:hint="eastAsia"/>
      </w:rPr>
      <w:t>2</w:t>
    </w:r>
    <w:r>
      <w:t>4页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22</w:t>
    </w:r>
    <w:r>
      <w:fldChar w:fldCharType="end"/>
    </w:r>
    <w:r>
      <w:rPr>
        <w:rFonts w:hint="eastAsia"/>
      </w:rPr>
      <w:t>页，共</w:t>
    </w:r>
    <w:r>
      <w:t>24</w:t>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rPr>
    </w:pPr>
    <w:r>
      <w:rPr>
        <w:rFonts w:hint="eastAsia"/>
      </w:rPr>
      <w:t>第</w:t>
    </w:r>
    <w:r>
      <w:fldChar w:fldCharType="begin"/>
    </w:r>
    <w:r>
      <w:instrText xml:space="preserve"> </w:instrText>
    </w:r>
    <w:r>
      <w:rPr>
        <w:rFonts w:hint="eastAsia"/>
      </w:rPr>
      <w:instrText xml:space="preserve">PAGE  \* Arabic  \* MERGEFORMAT</w:instrText>
    </w:r>
    <w:r>
      <w:instrText xml:space="preserve"> </w:instrText>
    </w:r>
    <w:r>
      <w:fldChar w:fldCharType="separate"/>
    </w:r>
    <w:r>
      <w:t>2</w:t>
    </w:r>
    <w:r>
      <w:fldChar w:fldCharType="end"/>
    </w:r>
    <w:r>
      <w:rPr>
        <w:rFonts w:hint="eastAsia"/>
      </w:rPr>
      <w:t>页，共</w:t>
    </w:r>
    <w:r>
      <w:fldChar w:fldCharType="begin"/>
    </w:r>
    <w:r>
      <w:instrText xml:space="preserve"> </w:instrText>
    </w:r>
    <w:r>
      <w:rPr>
        <w:rFonts w:hint="eastAsia"/>
      </w:rPr>
      <w:instrText xml:space="preserve">NUMPAGES  \* Arabic  \* MERGEFORMAT</w:instrText>
    </w:r>
    <w:r>
      <w:instrText xml:space="preserve"> </w:instrText>
    </w:r>
    <w:r>
      <w:fldChar w:fldCharType="separate"/>
    </w:r>
    <w:r>
      <w:t>27</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5580" w:hanging="5580" w:hangingChars="3100"/>
      <w:jc w:val="left"/>
      <w:rPr>
        <w:rFonts w:hint="eastAsia"/>
        <w:lang w:eastAsia="zh-CN"/>
      </w:rPr>
    </w:pPr>
    <w:r>
      <w:t xml:space="preserve">                                  </w:t>
    </w:r>
    <w:r>
      <w:rPr>
        <w:rFonts w:hint="eastAsia"/>
        <w:lang w:eastAsia="zh-CN"/>
      </w:rPr>
      <w:t>合同编号：J</w:t>
    </w:r>
    <w:r>
      <w:rPr>
        <w:lang w:eastAsia="zh-CN"/>
      </w:rPr>
      <w:t>HW-HT(G)-</w:t>
    </w:r>
    <w:r>
      <w:rPr>
        <w:rFonts w:hint="eastAsia"/>
        <w:lang w:eastAsia="zh-CN"/>
      </w:rPr>
      <w:t>2024/</w:t>
    </w:r>
    <w:r>
      <w:rPr>
        <w:lang w:eastAsia="zh-CN"/>
      </w:rPr>
      <w:t>0**</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5580" w:hanging="5580" w:hangingChars="3100"/>
      <w:jc w:val="left"/>
      <w:rPr>
        <w:rFonts w:hint="eastAsia"/>
        <w:lang w:eastAsia="zh-CN"/>
      </w:rPr>
    </w:pPr>
    <w:r>
      <w:t xml:space="preserve">                   </w:t>
    </w:r>
    <w:r>
      <w:rPr>
        <w:rFonts w:hint="eastAsia"/>
        <w:lang w:eastAsia="zh-CN"/>
      </w:rPr>
      <w:t>合同编号：J</w:t>
    </w:r>
    <w:r>
      <w:rPr>
        <w:lang w:eastAsia="zh-CN"/>
      </w:rPr>
      <w:t>HW-HT(G)-</w:t>
    </w:r>
    <w:r>
      <w:rPr>
        <w:rFonts w:hint="eastAsia"/>
        <w:lang w:eastAsia="zh-CN"/>
      </w:rPr>
      <w:t>20</w:t>
    </w:r>
    <w:r>
      <w:rPr>
        <w:rFonts w:hint="eastAsia"/>
        <w:lang w:val="en-US" w:eastAsia="zh-CN"/>
      </w:rPr>
      <w:t>24</w:t>
    </w:r>
    <w:r>
      <w:rPr>
        <w:rFonts w:hint="eastAsia"/>
        <w:lang w:eastAsia="zh-CN"/>
      </w:rPr>
      <w:t>/</w:t>
    </w:r>
    <w:r>
      <w:rPr>
        <w:lang w:eastAsia="zh-CN"/>
      </w:rPr>
      <w:t>0**</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left="5580" w:hanging="5580" w:hangingChars="3100"/>
      <w:jc w:val="left"/>
      <w:rPr>
        <w:rFonts w:hint="eastAsia"/>
        <w:lang w:eastAsia="zh-CN"/>
      </w:rPr>
    </w:pPr>
    <w:r>
      <w:t xml:space="preserve">                                   </w:t>
    </w:r>
    <w:r>
      <w:rPr>
        <w:rFonts w:hint="eastAsia"/>
        <w:lang w:eastAsia="zh-CN"/>
      </w:rPr>
      <w:t>合同编号：J</w:t>
    </w:r>
    <w:r>
      <w:rPr>
        <w:lang w:eastAsia="zh-CN"/>
      </w:rPr>
      <w:t>HW-HT(G)-</w:t>
    </w:r>
    <w:r>
      <w:rPr>
        <w:rFonts w:hint="eastAsia"/>
        <w:lang w:eastAsia="zh-CN"/>
      </w:rPr>
      <w:t>2024/</w:t>
    </w:r>
    <w:r>
      <w:rPr>
        <w:lang w:eastAsia="zh-CN"/>
      </w:rPr>
      <w:t>0**</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7BC45"/>
    <w:multiLevelType w:val="singleLevel"/>
    <w:tmpl w:val="9377BC4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9ACF65A0"/>
    <w:multiLevelType w:val="singleLevel"/>
    <w:tmpl w:val="9ACF65A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
    <w:nsid w:val="A0C93552"/>
    <w:multiLevelType w:val="singleLevel"/>
    <w:tmpl w:val="A0C93552"/>
    <w:lvl w:ilvl="0" w:tentative="0">
      <w:start w:val="4"/>
      <w:numFmt w:val="ideographDigit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B0ED9BEA"/>
    <w:multiLevelType w:val="singleLevel"/>
    <w:tmpl w:val="B0ED9BEA"/>
    <w:lvl w:ilvl="0" w:tentative="0">
      <w:start w:val="8"/>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B88D21A8"/>
    <w:multiLevelType w:val="singleLevel"/>
    <w:tmpl w:val="B88D21A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BDA1395C"/>
    <w:multiLevelType w:val="singleLevel"/>
    <w:tmpl w:val="BDA1395C"/>
    <w:lvl w:ilvl="0" w:tentative="0">
      <w:start w:val="34"/>
      <w:numFmt w:val="decimal"/>
      <w:lvlText w:val="(%1)"/>
      <w:lvlJc w:val="left"/>
      <w:pPr>
        <w:ind w:left="0" w:firstLine="0"/>
      </w:pPr>
      <w:rPr>
        <w:rFonts w:hint="eastAsia" w:ascii="Times New Roman" w:hAnsi="Times New Roman" w:eastAsia="宋体"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
    <w:nsid w:val="C4E0D24A"/>
    <w:multiLevelType w:val="singleLevel"/>
    <w:tmpl w:val="C4E0D24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DAD3A854"/>
    <w:multiLevelType w:val="singleLevel"/>
    <w:tmpl w:val="DAD3A8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8">
    <w:nsid w:val="E504947C"/>
    <w:multiLevelType w:val="singleLevel"/>
    <w:tmpl w:val="E504947C"/>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9">
    <w:nsid w:val="E7B27C5B"/>
    <w:multiLevelType w:val="singleLevel"/>
    <w:tmpl w:val="E7B27C5B"/>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0">
    <w:nsid w:val="08555674"/>
    <w:multiLevelType w:val="multilevel"/>
    <w:tmpl w:val="08555674"/>
    <w:lvl w:ilvl="0" w:tentative="0">
      <w:start w:val="1"/>
      <w:numFmt w:val="decimal"/>
      <w:pStyle w:val="52"/>
      <w:lvlText w:val="%1."/>
      <w:lvlJc w:val="left"/>
      <w:pPr>
        <w:tabs>
          <w:tab w:val="left" w:pos="2681"/>
        </w:tabs>
        <w:ind w:left="2681" w:hanging="420"/>
      </w:pPr>
      <w:rPr>
        <w:rFonts w:hint="default"/>
        <w:sz w:val="24"/>
        <w:szCs w:val="24"/>
      </w:rPr>
    </w:lvl>
    <w:lvl w:ilvl="1" w:tentative="0">
      <w:start w:val="1"/>
      <w:numFmt w:val="decimal"/>
      <w:lvlText w:val="%1.%2"/>
      <w:lvlJc w:val="left"/>
      <w:pPr>
        <w:tabs>
          <w:tab w:val="left" w:pos="1247"/>
        </w:tabs>
        <w:ind w:left="1247" w:hanging="737"/>
      </w:pPr>
      <w:rPr>
        <w:rFonts w:hint="default" w:ascii="Times New Roman" w:hAnsi="Times New Roman"/>
        <w:i w:val="0"/>
        <w:color w:val="auto"/>
        <w:sz w:val="24"/>
        <w:szCs w:val="24"/>
      </w:rPr>
    </w:lvl>
    <w:lvl w:ilvl="2" w:tentative="0">
      <w:start w:val="1"/>
      <w:numFmt w:val="decimal"/>
      <w:lvlText w:val="%1.%2.%3"/>
      <w:lvlJc w:val="left"/>
      <w:pPr>
        <w:tabs>
          <w:tab w:val="left" w:pos="1230"/>
        </w:tabs>
        <w:ind w:left="1230" w:hanging="720"/>
      </w:pPr>
      <w:rPr>
        <w:rFonts w:hint="eastAsia"/>
      </w:rPr>
    </w:lvl>
    <w:lvl w:ilvl="3" w:tentative="0">
      <w:start w:val="1"/>
      <w:numFmt w:val="decimal"/>
      <w:lvlText w:val="%1.%2.%3.%4"/>
      <w:lvlJc w:val="left"/>
      <w:pPr>
        <w:tabs>
          <w:tab w:val="left" w:pos="1372"/>
        </w:tabs>
        <w:ind w:left="1374" w:hanging="864"/>
      </w:pPr>
      <w:rPr>
        <w:rFonts w:hint="eastAsia"/>
      </w:rPr>
    </w:lvl>
    <w:lvl w:ilvl="4" w:tentative="0">
      <w:start w:val="1"/>
      <w:numFmt w:val="decimal"/>
      <w:lvlText w:val="%1.%2.%3.%4.%5"/>
      <w:lvlJc w:val="left"/>
      <w:pPr>
        <w:tabs>
          <w:tab w:val="left" w:pos="1518"/>
        </w:tabs>
        <w:ind w:left="1518" w:hanging="1008"/>
      </w:pPr>
      <w:rPr>
        <w:rFonts w:hint="eastAsia"/>
      </w:rPr>
    </w:lvl>
    <w:lvl w:ilvl="5" w:tentative="0">
      <w:start w:val="1"/>
      <w:numFmt w:val="decimal"/>
      <w:lvlText w:val="%1.%2.%3.%4.%5.%6"/>
      <w:lvlJc w:val="left"/>
      <w:pPr>
        <w:tabs>
          <w:tab w:val="left" w:pos="1662"/>
        </w:tabs>
        <w:ind w:left="1662" w:hanging="1152"/>
      </w:pPr>
      <w:rPr>
        <w:rFonts w:hint="eastAsia"/>
      </w:rPr>
    </w:lvl>
    <w:lvl w:ilvl="6" w:tentative="0">
      <w:start w:val="1"/>
      <w:numFmt w:val="decimal"/>
      <w:lvlText w:val="%1.%2.%3.%4.%5.%6.%7"/>
      <w:lvlJc w:val="left"/>
      <w:pPr>
        <w:tabs>
          <w:tab w:val="left" w:pos="1806"/>
        </w:tabs>
        <w:ind w:left="1806" w:hanging="1296"/>
      </w:pPr>
      <w:rPr>
        <w:rFonts w:hint="eastAsia"/>
      </w:rPr>
    </w:lvl>
    <w:lvl w:ilvl="7" w:tentative="0">
      <w:start w:val="1"/>
      <w:numFmt w:val="decimal"/>
      <w:lvlText w:val="%1.%2.%3.%4.%5.%6.%7.%8"/>
      <w:lvlJc w:val="left"/>
      <w:pPr>
        <w:tabs>
          <w:tab w:val="left" w:pos="1950"/>
        </w:tabs>
        <w:ind w:left="1950" w:hanging="1440"/>
      </w:pPr>
      <w:rPr>
        <w:rFonts w:hint="eastAsia"/>
      </w:rPr>
    </w:lvl>
    <w:lvl w:ilvl="8" w:tentative="0">
      <w:start w:val="1"/>
      <w:numFmt w:val="decimal"/>
      <w:lvlText w:val="%1.%2.%3.%4.%5.%6.%7.%8.%9"/>
      <w:lvlJc w:val="left"/>
      <w:pPr>
        <w:tabs>
          <w:tab w:val="left" w:pos="2094"/>
        </w:tabs>
        <w:ind w:left="2094" w:hanging="1584"/>
      </w:pPr>
      <w:rPr>
        <w:rFonts w:hint="eastAsia"/>
      </w:rPr>
    </w:lvl>
  </w:abstractNum>
  <w:abstractNum w:abstractNumId="11">
    <w:nsid w:val="0BF15331"/>
    <w:multiLevelType w:val="multilevel"/>
    <w:tmpl w:val="0BF1533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2D79CE"/>
    <w:multiLevelType w:val="singleLevel"/>
    <w:tmpl w:val="2F2D79CE"/>
    <w:lvl w:ilvl="0" w:tentative="0">
      <w:start w:val="14"/>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3">
    <w:nsid w:val="30597391"/>
    <w:multiLevelType w:val="multilevel"/>
    <w:tmpl w:val="3059739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15A08AE"/>
    <w:multiLevelType w:val="multilevel"/>
    <w:tmpl w:val="315A08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46834BC"/>
    <w:multiLevelType w:val="multilevel"/>
    <w:tmpl w:val="346834B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87B73C5"/>
    <w:multiLevelType w:val="multilevel"/>
    <w:tmpl w:val="387B73C5"/>
    <w:lvl w:ilvl="0" w:tentative="0">
      <w:start w:val="1"/>
      <w:numFmt w:val="decimal"/>
      <w:pStyle w:val="54"/>
      <w:lvlText w:val="附件 %1"/>
      <w:lvlJc w:val="left"/>
      <w:pPr>
        <w:tabs>
          <w:tab w:val="left" w:pos="980"/>
        </w:tabs>
        <w:ind w:left="980" w:hanging="4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8892251"/>
    <w:multiLevelType w:val="multilevel"/>
    <w:tmpl w:val="3889225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8A7304E"/>
    <w:multiLevelType w:val="multilevel"/>
    <w:tmpl w:val="38A730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9356CA9"/>
    <w:multiLevelType w:val="multilevel"/>
    <w:tmpl w:val="39356CA9"/>
    <w:lvl w:ilvl="0" w:tentative="0">
      <w:start w:val="1"/>
      <w:numFmt w:val="japaneseCounting"/>
      <w:pStyle w:val="53"/>
      <w:lvlText w:val="第%1条"/>
      <w:lvlJc w:val="left"/>
      <w:pPr>
        <w:tabs>
          <w:tab w:val="left" w:pos="1134"/>
        </w:tabs>
        <w:ind w:left="1134" w:hanging="1134"/>
      </w:pPr>
      <w:rPr>
        <w:rFonts w:hint="eastAsia" w:ascii="宋体" w:hAnsi="Times New Roman" w:eastAsia="宋体" w:cs="Times New Roman"/>
        <w:b w:val="0"/>
        <w:bCs w:val="0"/>
        <w:i w:val="0"/>
        <w:iCs w:val="0"/>
        <w:caps w:val="0"/>
        <w:strike w:val="0"/>
        <w:dstrike w:val="0"/>
        <w:outline w:val="0"/>
        <w:shadow w:val="0"/>
        <w:emboss w:val="0"/>
        <w:imprint w:val="0"/>
        <w:vanish w:val="0"/>
        <w:spacing w:val="0"/>
        <w:position w:val="0"/>
        <w:sz w:val="24"/>
        <w:szCs w:val="24"/>
        <w:u w:val="none"/>
        <w:vertAlign w:val="baseline"/>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93E4184"/>
    <w:multiLevelType w:val="multilevel"/>
    <w:tmpl w:val="393E41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D3903DA"/>
    <w:multiLevelType w:val="multilevel"/>
    <w:tmpl w:val="3D3903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11B3B3F"/>
    <w:multiLevelType w:val="multilevel"/>
    <w:tmpl w:val="511B3B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EEFD2A"/>
    <w:multiLevelType w:val="singleLevel"/>
    <w:tmpl w:val="59EEFD2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4">
    <w:nsid w:val="5E035F1A"/>
    <w:multiLevelType w:val="multilevel"/>
    <w:tmpl w:val="5E035F1A"/>
    <w:lvl w:ilvl="0" w:tentative="0">
      <w:start w:val="1"/>
      <w:numFmt w:val="decimal"/>
      <w:pStyle w:val="2"/>
      <w:lvlText w:val="第%1条"/>
      <w:lvlJc w:val="left"/>
      <w:pPr>
        <w:tabs>
          <w:tab w:val="left" w:pos="1418"/>
        </w:tabs>
        <w:ind w:left="1418" w:hanging="908"/>
      </w:pPr>
      <w:rPr>
        <w:rFonts w:hint="default" w:ascii="Times New Roman" w:hAnsi="Times New Roman" w:eastAsia="宋体"/>
        <w:sz w:val="24"/>
        <w:szCs w:val="24"/>
      </w:rPr>
    </w:lvl>
    <w:lvl w:ilvl="1" w:tentative="0">
      <w:start w:val="1"/>
      <w:numFmt w:val="decimal"/>
      <w:pStyle w:val="3"/>
      <w:lvlText w:val="%1.%2"/>
      <w:lvlJc w:val="left"/>
      <w:pPr>
        <w:tabs>
          <w:tab w:val="left" w:pos="1344"/>
        </w:tabs>
        <w:ind w:left="1344" w:hanging="624"/>
      </w:pPr>
      <w:rPr>
        <w:rFonts w:hint="default" w:ascii="Times New Roman" w:hAnsi="Times New Roman"/>
        <w:i w:val="0"/>
        <w:color w:val="auto"/>
        <w:sz w:val="24"/>
        <w:szCs w:val="24"/>
      </w:rPr>
    </w:lvl>
    <w:lvl w:ilvl="2" w:tentative="0">
      <w:start w:val="1"/>
      <w:numFmt w:val="decimal"/>
      <w:pStyle w:val="4"/>
      <w:lvlText w:val="%1.%2.%3"/>
      <w:lvlJc w:val="left"/>
      <w:pPr>
        <w:tabs>
          <w:tab w:val="left" w:pos="1418"/>
        </w:tabs>
        <w:ind w:left="1418" w:hanging="908"/>
      </w:pPr>
      <w:rPr>
        <w:rFonts w:hint="eastAsia" w:ascii="Times New Roman" w:hAnsi="Times New Roman" w:cs="Times New Roman"/>
        <w:b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tabs>
          <w:tab w:val="left" w:pos="1372"/>
        </w:tabs>
        <w:ind w:left="1374" w:hanging="864"/>
      </w:pPr>
      <w:rPr>
        <w:rFonts w:hint="eastAsia"/>
      </w:rPr>
    </w:lvl>
    <w:lvl w:ilvl="4" w:tentative="0">
      <w:start w:val="1"/>
      <w:numFmt w:val="decimal"/>
      <w:lvlText w:val="%1.%2.%3.%4.%5"/>
      <w:lvlJc w:val="left"/>
      <w:pPr>
        <w:tabs>
          <w:tab w:val="left" w:pos="1518"/>
        </w:tabs>
        <w:ind w:left="1518" w:hanging="1008"/>
      </w:pPr>
      <w:rPr>
        <w:rFonts w:hint="eastAsia"/>
      </w:rPr>
    </w:lvl>
    <w:lvl w:ilvl="5" w:tentative="0">
      <w:start w:val="1"/>
      <w:numFmt w:val="decimal"/>
      <w:lvlText w:val="%1.%2.%3.%4.%5.%6"/>
      <w:lvlJc w:val="left"/>
      <w:pPr>
        <w:tabs>
          <w:tab w:val="left" w:pos="1662"/>
        </w:tabs>
        <w:ind w:left="1662" w:hanging="1152"/>
      </w:pPr>
      <w:rPr>
        <w:rFonts w:hint="eastAsia"/>
      </w:rPr>
    </w:lvl>
    <w:lvl w:ilvl="6" w:tentative="0">
      <w:start w:val="1"/>
      <w:numFmt w:val="decimal"/>
      <w:lvlText w:val="%1.%2.%3.%4.%5.%6.%7"/>
      <w:lvlJc w:val="left"/>
      <w:pPr>
        <w:tabs>
          <w:tab w:val="left" w:pos="1806"/>
        </w:tabs>
        <w:ind w:left="1806" w:hanging="1296"/>
      </w:pPr>
      <w:rPr>
        <w:rFonts w:hint="eastAsia"/>
      </w:rPr>
    </w:lvl>
    <w:lvl w:ilvl="7" w:tentative="0">
      <w:start w:val="1"/>
      <w:numFmt w:val="decimal"/>
      <w:lvlText w:val="%1.%2.%3.%4.%5.%6.%7.%8"/>
      <w:lvlJc w:val="left"/>
      <w:pPr>
        <w:tabs>
          <w:tab w:val="left" w:pos="1950"/>
        </w:tabs>
        <w:ind w:left="1950" w:hanging="1440"/>
      </w:pPr>
      <w:rPr>
        <w:rFonts w:hint="eastAsia"/>
      </w:rPr>
    </w:lvl>
    <w:lvl w:ilvl="8" w:tentative="0">
      <w:start w:val="1"/>
      <w:numFmt w:val="decimal"/>
      <w:lvlText w:val="%1.%2.%3.%4.%5.%6.%7.%8.%9"/>
      <w:lvlJc w:val="left"/>
      <w:pPr>
        <w:tabs>
          <w:tab w:val="left" w:pos="2094"/>
        </w:tabs>
        <w:ind w:left="2094" w:hanging="1584"/>
      </w:pPr>
      <w:rPr>
        <w:rFonts w:hint="eastAsia"/>
      </w:rPr>
    </w:lvl>
  </w:abstractNum>
  <w:abstractNum w:abstractNumId="25">
    <w:nsid w:val="5FCE1F1A"/>
    <w:multiLevelType w:val="multilevel"/>
    <w:tmpl w:val="5FCE1F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05C6E7E"/>
    <w:multiLevelType w:val="multilevel"/>
    <w:tmpl w:val="605C6E7E"/>
    <w:lvl w:ilvl="0" w:tentative="0">
      <w:start w:val="1"/>
      <w:numFmt w:val="japaneseCounting"/>
      <w:pStyle w:val="51"/>
      <w:lvlText w:val="第%1条"/>
      <w:lvlJc w:val="left"/>
      <w:pPr>
        <w:tabs>
          <w:tab w:val="left" w:pos="1320"/>
        </w:tabs>
        <w:ind w:left="1320" w:hanging="9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62FD6258"/>
    <w:multiLevelType w:val="multilevel"/>
    <w:tmpl w:val="62FD62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240403E"/>
    <w:multiLevelType w:val="multilevel"/>
    <w:tmpl w:val="7240403E"/>
    <w:lvl w:ilvl="0" w:tentative="0">
      <w:start w:val="1"/>
      <w:numFmt w:val="chineseCountingThousand"/>
      <w:lvlText w:val="%1."/>
      <w:lvlJc w:val="left"/>
      <w:pPr>
        <w:ind w:left="450" w:hanging="45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40B0FBE"/>
    <w:multiLevelType w:val="multilevel"/>
    <w:tmpl w:val="740B0FB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76C70196"/>
    <w:multiLevelType w:val="multilevel"/>
    <w:tmpl w:val="76C7019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7633216"/>
    <w:multiLevelType w:val="singleLevel"/>
    <w:tmpl w:val="7763321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2">
    <w:nsid w:val="77ED02C2"/>
    <w:multiLevelType w:val="multilevel"/>
    <w:tmpl w:val="77ED02C2"/>
    <w:lvl w:ilvl="0" w:tentative="0">
      <w:start w:val="1"/>
      <w:numFmt w:val="decimal"/>
      <w:lvlText w:val="%1)"/>
      <w:lvlJc w:val="left"/>
      <w:pPr>
        <w:ind w:left="420" w:hanging="420"/>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90A51EE"/>
    <w:multiLevelType w:val="multilevel"/>
    <w:tmpl w:val="790A51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26"/>
  </w:num>
  <w:num w:numId="3">
    <w:abstractNumId w:val="10"/>
  </w:num>
  <w:num w:numId="4">
    <w:abstractNumId w:val="19"/>
  </w:num>
  <w:num w:numId="5">
    <w:abstractNumId w:val="16"/>
  </w:num>
  <w:num w:numId="6">
    <w:abstractNumId w:val="28"/>
  </w:num>
  <w:num w:numId="7">
    <w:abstractNumId w:val="20"/>
  </w:num>
  <w:num w:numId="8">
    <w:abstractNumId w:val="13"/>
  </w:num>
  <w:num w:numId="9">
    <w:abstractNumId w:val="22"/>
  </w:num>
  <w:num w:numId="10">
    <w:abstractNumId w:val="29"/>
  </w:num>
  <w:num w:numId="11">
    <w:abstractNumId w:val="32"/>
  </w:num>
  <w:num w:numId="12">
    <w:abstractNumId w:val="18"/>
  </w:num>
  <w:num w:numId="13">
    <w:abstractNumId w:val="27"/>
  </w:num>
  <w:num w:numId="14">
    <w:abstractNumId w:val="11"/>
  </w:num>
  <w:num w:numId="15">
    <w:abstractNumId w:val="17"/>
  </w:num>
  <w:num w:numId="16">
    <w:abstractNumId w:val="25"/>
  </w:num>
  <w:num w:numId="17">
    <w:abstractNumId w:val="15"/>
  </w:num>
  <w:num w:numId="18">
    <w:abstractNumId w:val="33"/>
  </w:num>
  <w:num w:numId="19">
    <w:abstractNumId w:val="14"/>
  </w:num>
  <w:num w:numId="20">
    <w:abstractNumId w:val="21"/>
  </w:num>
  <w:num w:numId="21">
    <w:abstractNumId w:val="30"/>
  </w:num>
  <w:num w:numId="22">
    <w:abstractNumId w:val="8"/>
  </w:num>
  <w:num w:numId="23">
    <w:abstractNumId w:val="6"/>
  </w:num>
  <w:num w:numId="24">
    <w:abstractNumId w:val="2"/>
  </w:num>
  <w:num w:numId="25">
    <w:abstractNumId w:val="31"/>
  </w:num>
  <w:num w:numId="26">
    <w:abstractNumId w:val="7"/>
  </w:num>
  <w:num w:numId="27">
    <w:abstractNumId w:val="4"/>
  </w:num>
  <w:num w:numId="28">
    <w:abstractNumId w:val="12"/>
  </w:num>
  <w:num w:numId="29">
    <w:abstractNumId w:val="9"/>
  </w:num>
  <w:num w:numId="30">
    <w:abstractNumId w:val="1"/>
  </w:num>
  <w:num w:numId="31">
    <w:abstractNumId w:val="23"/>
  </w:num>
  <w:num w:numId="32">
    <w:abstractNumId w:val="5"/>
  </w:num>
  <w:num w:numId="33">
    <w:abstractNumId w:val="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720"/>
  <w:hyphenationZone w:val="36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ThkODZlYjBhYjVkMWI0MjI3ZjliYmI2NWQxNDIifQ=="/>
  </w:docVars>
  <w:rsids>
    <w:rsidRoot w:val="00086531"/>
    <w:rsid w:val="0000102F"/>
    <w:rsid w:val="00001334"/>
    <w:rsid w:val="000016CF"/>
    <w:rsid w:val="00001A60"/>
    <w:rsid w:val="00001CD1"/>
    <w:rsid w:val="00002366"/>
    <w:rsid w:val="0000257B"/>
    <w:rsid w:val="0000283F"/>
    <w:rsid w:val="00003678"/>
    <w:rsid w:val="00003C79"/>
    <w:rsid w:val="000043B4"/>
    <w:rsid w:val="000044E4"/>
    <w:rsid w:val="00004693"/>
    <w:rsid w:val="00005225"/>
    <w:rsid w:val="00005E35"/>
    <w:rsid w:val="000061D3"/>
    <w:rsid w:val="00006C2C"/>
    <w:rsid w:val="000100C3"/>
    <w:rsid w:val="00010A11"/>
    <w:rsid w:val="00010AAA"/>
    <w:rsid w:val="00011B71"/>
    <w:rsid w:val="000125F1"/>
    <w:rsid w:val="0001276C"/>
    <w:rsid w:val="00012A1C"/>
    <w:rsid w:val="00012C06"/>
    <w:rsid w:val="00012F09"/>
    <w:rsid w:val="000143C2"/>
    <w:rsid w:val="0001458C"/>
    <w:rsid w:val="0001469E"/>
    <w:rsid w:val="000152D7"/>
    <w:rsid w:val="000154F2"/>
    <w:rsid w:val="00020824"/>
    <w:rsid w:val="00020AB0"/>
    <w:rsid w:val="00020BD6"/>
    <w:rsid w:val="0002274E"/>
    <w:rsid w:val="0002486C"/>
    <w:rsid w:val="000252A7"/>
    <w:rsid w:val="000259A4"/>
    <w:rsid w:val="00026938"/>
    <w:rsid w:val="00026CF5"/>
    <w:rsid w:val="00026D72"/>
    <w:rsid w:val="00027FDB"/>
    <w:rsid w:val="0003013D"/>
    <w:rsid w:val="00030346"/>
    <w:rsid w:val="00030735"/>
    <w:rsid w:val="00030C02"/>
    <w:rsid w:val="00031347"/>
    <w:rsid w:val="00031EF9"/>
    <w:rsid w:val="0003242E"/>
    <w:rsid w:val="0003286A"/>
    <w:rsid w:val="00033866"/>
    <w:rsid w:val="00033AA6"/>
    <w:rsid w:val="0003409E"/>
    <w:rsid w:val="000344A2"/>
    <w:rsid w:val="00034F46"/>
    <w:rsid w:val="00035E11"/>
    <w:rsid w:val="0003614F"/>
    <w:rsid w:val="000364B3"/>
    <w:rsid w:val="00036582"/>
    <w:rsid w:val="00037BF0"/>
    <w:rsid w:val="000408EC"/>
    <w:rsid w:val="000420CC"/>
    <w:rsid w:val="0004234F"/>
    <w:rsid w:val="000426CC"/>
    <w:rsid w:val="000427CD"/>
    <w:rsid w:val="000469A0"/>
    <w:rsid w:val="000470BB"/>
    <w:rsid w:val="0005036C"/>
    <w:rsid w:val="00050A2B"/>
    <w:rsid w:val="000511CE"/>
    <w:rsid w:val="000518BD"/>
    <w:rsid w:val="0005259C"/>
    <w:rsid w:val="00052ED6"/>
    <w:rsid w:val="00053331"/>
    <w:rsid w:val="00053672"/>
    <w:rsid w:val="00054317"/>
    <w:rsid w:val="00054555"/>
    <w:rsid w:val="00055C43"/>
    <w:rsid w:val="0005639F"/>
    <w:rsid w:val="00056A11"/>
    <w:rsid w:val="00056CFA"/>
    <w:rsid w:val="00057D0F"/>
    <w:rsid w:val="00057EA1"/>
    <w:rsid w:val="000629CD"/>
    <w:rsid w:val="00062E9E"/>
    <w:rsid w:val="0006397D"/>
    <w:rsid w:val="00064152"/>
    <w:rsid w:val="00065231"/>
    <w:rsid w:val="00065B41"/>
    <w:rsid w:val="0006674B"/>
    <w:rsid w:val="00066E26"/>
    <w:rsid w:val="00067129"/>
    <w:rsid w:val="0006799D"/>
    <w:rsid w:val="00070458"/>
    <w:rsid w:val="00071683"/>
    <w:rsid w:val="000723B0"/>
    <w:rsid w:val="0007301B"/>
    <w:rsid w:val="000735E2"/>
    <w:rsid w:val="0007436C"/>
    <w:rsid w:val="000763C6"/>
    <w:rsid w:val="000770D1"/>
    <w:rsid w:val="00077D03"/>
    <w:rsid w:val="00080A2A"/>
    <w:rsid w:val="00080AE5"/>
    <w:rsid w:val="0008190F"/>
    <w:rsid w:val="00081AC0"/>
    <w:rsid w:val="000824E0"/>
    <w:rsid w:val="00082AFB"/>
    <w:rsid w:val="00082D86"/>
    <w:rsid w:val="000834AB"/>
    <w:rsid w:val="000835B1"/>
    <w:rsid w:val="00084626"/>
    <w:rsid w:val="00084A00"/>
    <w:rsid w:val="00084B4C"/>
    <w:rsid w:val="00084B5A"/>
    <w:rsid w:val="0008524E"/>
    <w:rsid w:val="00086531"/>
    <w:rsid w:val="000868D1"/>
    <w:rsid w:val="00086F37"/>
    <w:rsid w:val="00087592"/>
    <w:rsid w:val="00090142"/>
    <w:rsid w:val="00090794"/>
    <w:rsid w:val="00090848"/>
    <w:rsid w:val="00090865"/>
    <w:rsid w:val="00091DE3"/>
    <w:rsid w:val="0009489C"/>
    <w:rsid w:val="00095168"/>
    <w:rsid w:val="0009629E"/>
    <w:rsid w:val="00096B08"/>
    <w:rsid w:val="00097E1B"/>
    <w:rsid w:val="000A05F8"/>
    <w:rsid w:val="000A1129"/>
    <w:rsid w:val="000A1537"/>
    <w:rsid w:val="000A1C0F"/>
    <w:rsid w:val="000A1D2F"/>
    <w:rsid w:val="000A1EE1"/>
    <w:rsid w:val="000A2B1A"/>
    <w:rsid w:val="000A37F0"/>
    <w:rsid w:val="000A3F74"/>
    <w:rsid w:val="000A50F0"/>
    <w:rsid w:val="000A6520"/>
    <w:rsid w:val="000A701E"/>
    <w:rsid w:val="000B1ABA"/>
    <w:rsid w:val="000B304D"/>
    <w:rsid w:val="000B3BA4"/>
    <w:rsid w:val="000B3EA0"/>
    <w:rsid w:val="000B4211"/>
    <w:rsid w:val="000B4532"/>
    <w:rsid w:val="000B61BA"/>
    <w:rsid w:val="000B6A79"/>
    <w:rsid w:val="000B70BC"/>
    <w:rsid w:val="000B76A5"/>
    <w:rsid w:val="000B7E70"/>
    <w:rsid w:val="000C03C1"/>
    <w:rsid w:val="000C0559"/>
    <w:rsid w:val="000C05ED"/>
    <w:rsid w:val="000C0CFF"/>
    <w:rsid w:val="000C22CB"/>
    <w:rsid w:val="000C2B31"/>
    <w:rsid w:val="000C358F"/>
    <w:rsid w:val="000C4621"/>
    <w:rsid w:val="000C492B"/>
    <w:rsid w:val="000C4C51"/>
    <w:rsid w:val="000C56CD"/>
    <w:rsid w:val="000C595E"/>
    <w:rsid w:val="000C5AAB"/>
    <w:rsid w:val="000C6E2D"/>
    <w:rsid w:val="000C6FA9"/>
    <w:rsid w:val="000C75A3"/>
    <w:rsid w:val="000D0786"/>
    <w:rsid w:val="000D1351"/>
    <w:rsid w:val="000D334E"/>
    <w:rsid w:val="000D394A"/>
    <w:rsid w:val="000D3A1F"/>
    <w:rsid w:val="000D5B5A"/>
    <w:rsid w:val="000D7681"/>
    <w:rsid w:val="000D785D"/>
    <w:rsid w:val="000E08B0"/>
    <w:rsid w:val="000E10BF"/>
    <w:rsid w:val="000E1448"/>
    <w:rsid w:val="000E1828"/>
    <w:rsid w:val="000E2298"/>
    <w:rsid w:val="000E473E"/>
    <w:rsid w:val="000E4A30"/>
    <w:rsid w:val="000E68FC"/>
    <w:rsid w:val="000E6BBF"/>
    <w:rsid w:val="000E6CFC"/>
    <w:rsid w:val="000E714D"/>
    <w:rsid w:val="000E73CF"/>
    <w:rsid w:val="000E7622"/>
    <w:rsid w:val="000F05B9"/>
    <w:rsid w:val="000F221D"/>
    <w:rsid w:val="000F25D0"/>
    <w:rsid w:val="000F2AFC"/>
    <w:rsid w:val="000F3357"/>
    <w:rsid w:val="000F3DBA"/>
    <w:rsid w:val="000F478A"/>
    <w:rsid w:val="000F48C2"/>
    <w:rsid w:val="000F57E6"/>
    <w:rsid w:val="000F5ED8"/>
    <w:rsid w:val="000F6AEC"/>
    <w:rsid w:val="000F7E9C"/>
    <w:rsid w:val="0010014D"/>
    <w:rsid w:val="0010058A"/>
    <w:rsid w:val="00101025"/>
    <w:rsid w:val="001013BE"/>
    <w:rsid w:val="001015FD"/>
    <w:rsid w:val="0010345D"/>
    <w:rsid w:val="00105212"/>
    <w:rsid w:val="00106143"/>
    <w:rsid w:val="00106525"/>
    <w:rsid w:val="00106E22"/>
    <w:rsid w:val="001074D4"/>
    <w:rsid w:val="00107552"/>
    <w:rsid w:val="00107C8C"/>
    <w:rsid w:val="0011088A"/>
    <w:rsid w:val="00110E01"/>
    <w:rsid w:val="00111F67"/>
    <w:rsid w:val="00113232"/>
    <w:rsid w:val="00113A3B"/>
    <w:rsid w:val="00113DBD"/>
    <w:rsid w:val="00114B88"/>
    <w:rsid w:val="00115DDB"/>
    <w:rsid w:val="00115F2C"/>
    <w:rsid w:val="001207AC"/>
    <w:rsid w:val="00120EF4"/>
    <w:rsid w:val="001222DA"/>
    <w:rsid w:val="001228EA"/>
    <w:rsid w:val="00122AB3"/>
    <w:rsid w:val="00122CC7"/>
    <w:rsid w:val="00122E39"/>
    <w:rsid w:val="001236CA"/>
    <w:rsid w:val="00123B6A"/>
    <w:rsid w:val="00124906"/>
    <w:rsid w:val="0012495B"/>
    <w:rsid w:val="0012584C"/>
    <w:rsid w:val="001259AA"/>
    <w:rsid w:val="00125E72"/>
    <w:rsid w:val="001261EB"/>
    <w:rsid w:val="00127166"/>
    <w:rsid w:val="0012764F"/>
    <w:rsid w:val="00131AAB"/>
    <w:rsid w:val="00132693"/>
    <w:rsid w:val="00133767"/>
    <w:rsid w:val="00134B35"/>
    <w:rsid w:val="0013540E"/>
    <w:rsid w:val="0013783E"/>
    <w:rsid w:val="00137E5F"/>
    <w:rsid w:val="0014041E"/>
    <w:rsid w:val="00140AAE"/>
    <w:rsid w:val="00140EDE"/>
    <w:rsid w:val="0014135D"/>
    <w:rsid w:val="0014271C"/>
    <w:rsid w:val="0014377E"/>
    <w:rsid w:val="0014526D"/>
    <w:rsid w:val="00146349"/>
    <w:rsid w:val="0014689B"/>
    <w:rsid w:val="00147877"/>
    <w:rsid w:val="001500BB"/>
    <w:rsid w:val="00151C22"/>
    <w:rsid w:val="00151C68"/>
    <w:rsid w:val="00151DAF"/>
    <w:rsid w:val="00151F8C"/>
    <w:rsid w:val="00153613"/>
    <w:rsid w:val="00154728"/>
    <w:rsid w:val="00156991"/>
    <w:rsid w:val="001576A8"/>
    <w:rsid w:val="0015773D"/>
    <w:rsid w:val="001579F7"/>
    <w:rsid w:val="00157A72"/>
    <w:rsid w:val="00161B4E"/>
    <w:rsid w:val="00164647"/>
    <w:rsid w:val="00164DFF"/>
    <w:rsid w:val="00164F46"/>
    <w:rsid w:val="00164FCD"/>
    <w:rsid w:val="00165571"/>
    <w:rsid w:val="00165D85"/>
    <w:rsid w:val="001660C0"/>
    <w:rsid w:val="001667C4"/>
    <w:rsid w:val="00166A6D"/>
    <w:rsid w:val="00171AD9"/>
    <w:rsid w:val="00171B23"/>
    <w:rsid w:val="00171CB1"/>
    <w:rsid w:val="00172472"/>
    <w:rsid w:val="00172C7D"/>
    <w:rsid w:val="00172E2B"/>
    <w:rsid w:val="00173405"/>
    <w:rsid w:val="00173E67"/>
    <w:rsid w:val="0017403E"/>
    <w:rsid w:val="00174480"/>
    <w:rsid w:val="001744E2"/>
    <w:rsid w:val="0017533A"/>
    <w:rsid w:val="001765FF"/>
    <w:rsid w:val="001767C5"/>
    <w:rsid w:val="00181483"/>
    <w:rsid w:val="001823BE"/>
    <w:rsid w:val="00183571"/>
    <w:rsid w:val="00183BBB"/>
    <w:rsid w:val="00184BE7"/>
    <w:rsid w:val="00186B13"/>
    <w:rsid w:val="00187EAB"/>
    <w:rsid w:val="00191211"/>
    <w:rsid w:val="0019187B"/>
    <w:rsid w:val="001924A8"/>
    <w:rsid w:val="001937CB"/>
    <w:rsid w:val="001937F4"/>
    <w:rsid w:val="00195147"/>
    <w:rsid w:val="00196E93"/>
    <w:rsid w:val="0019708E"/>
    <w:rsid w:val="001974E5"/>
    <w:rsid w:val="001A00C5"/>
    <w:rsid w:val="001A06CE"/>
    <w:rsid w:val="001A0D31"/>
    <w:rsid w:val="001A19B8"/>
    <w:rsid w:val="001A1F75"/>
    <w:rsid w:val="001A2F33"/>
    <w:rsid w:val="001A4F48"/>
    <w:rsid w:val="001A510C"/>
    <w:rsid w:val="001A53E9"/>
    <w:rsid w:val="001A54C2"/>
    <w:rsid w:val="001A5F14"/>
    <w:rsid w:val="001A7C39"/>
    <w:rsid w:val="001B0151"/>
    <w:rsid w:val="001B045F"/>
    <w:rsid w:val="001B063D"/>
    <w:rsid w:val="001B22A0"/>
    <w:rsid w:val="001B27C1"/>
    <w:rsid w:val="001B2F19"/>
    <w:rsid w:val="001B307C"/>
    <w:rsid w:val="001B48CF"/>
    <w:rsid w:val="001B56CA"/>
    <w:rsid w:val="001B5986"/>
    <w:rsid w:val="001C0C30"/>
    <w:rsid w:val="001C188B"/>
    <w:rsid w:val="001C2CA6"/>
    <w:rsid w:val="001C33E0"/>
    <w:rsid w:val="001C38CD"/>
    <w:rsid w:val="001C409D"/>
    <w:rsid w:val="001C5B64"/>
    <w:rsid w:val="001C5B67"/>
    <w:rsid w:val="001C5FF7"/>
    <w:rsid w:val="001C6A18"/>
    <w:rsid w:val="001C6B7D"/>
    <w:rsid w:val="001C6E0C"/>
    <w:rsid w:val="001C7162"/>
    <w:rsid w:val="001C71CA"/>
    <w:rsid w:val="001D019B"/>
    <w:rsid w:val="001D028B"/>
    <w:rsid w:val="001D14DE"/>
    <w:rsid w:val="001D15AC"/>
    <w:rsid w:val="001D1F8F"/>
    <w:rsid w:val="001D24E5"/>
    <w:rsid w:val="001D2DE7"/>
    <w:rsid w:val="001D2EA9"/>
    <w:rsid w:val="001D3176"/>
    <w:rsid w:val="001D3CCA"/>
    <w:rsid w:val="001D412D"/>
    <w:rsid w:val="001D54B0"/>
    <w:rsid w:val="001D6277"/>
    <w:rsid w:val="001D7842"/>
    <w:rsid w:val="001E033C"/>
    <w:rsid w:val="001E0824"/>
    <w:rsid w:val="001E0DDE"/>
    <w:rsid w:val="001E1880"/>
    <w:rsid w:val="001E24A1"/>
    <w:rsid w:val="001E2C81"/>
    <w:rsid w:val="001E4064"/>
    <w:rsid w:val="001E4952"/>
    <w:rsid w:val="001E4C41"/>
    <w:rsid w:val="001E54E1"/>
    <w:rsid w:val="001E5736"/>
    <w:rsid w:val="001E6819"/>
    <w:rsid w:val="001F262C"/>
    <w:rsid w:val="001F4787"/>
    <w:rsid w:val="001F492D"/>
    <w:rsid w:val="001F5726"/>
    <w:rsid w:val="001F5DB5"/>
    <w:rsid w:val="001F694B"/>
    <w:rsid w:val="001F6CCF"/>
    <w:rsid w:val="001F750D"/>
    <w:rsid w:val="00200052"/>
    <w:rsid w:val="00200AD8"/>
    <w:rsid w:val="00200EB8"/>
    <w:rsid w:val="00201596"/>
    <w:rsid w:val="00201C62"/>
    <w:rsid w:val="00202787"/>
    <w:rsid w:val="002028B8"/>
    <w:rsid w:val="002033CA"/>
    <w:rsid w:val="002038AF"/>
    <w:rsid w:val="00203CCF"/>
    <w:rsid w:val="00203D6E"/>
    <w:rsid w:val="00205A1D"/>
    <w:rsid w:val="00207BA8"/>
    <w:rsid w:val="00207CD4"/>
    <w:rsid w:val="00207D07"/>
    <w:rsid w:val="002113E5"/>
    <w:rsid w:val="002116FE"/>
    <w:rsid w:val="00212F76"/>
    <w:rsid w:val="002134D5"/>
    <w:rsid w:val="00213D35"/>
    <w:rsid w:val="002143F1"/>
    <w:rsid w:val="00215D5F"/>
    <w:rsid w:val="00216057"/>
    <w:rsid w:val="00216ED3"/>
    <w:rsid w:val="00223B34"/>
    <w:rsid w:val="00223BCE"/>
    <w:rsid w:val="00224E04"/>
    <w:rsid w:val="00225751"/>
    <w:rsid w:val="00226A92"/>
    <w:rsid w:val="00226AB8"/>
    <w:rsid w:val="00227BF6"/>
    <w:rsid w:val="0023076C"/>
    <w:rsid w:val="002323D9"/>
    <w:rsid w:val="00233BFA"/>
    <w:rsid w:val="00234972"/>
    <w:rsid w:val="00234F07"/>
    <w:rsid w:val="002352B2"/>
    <w:rsid w:val="00235FB7"/>
    <w:rsid w:val="00237397"/>
    <w:rsid w:val="00240839"/>
    <w:rsid w:val="002417B8"/>
    <w:rsid w:val="002418C7"/>
    <w:rsid w:val="00241903"/>
    <w:rsid w:val="00242661"/>
    <w:rsid w:val="00244269"/>
    <w:rsid w:val="00244CD4"/>
    <w:rsid w:val="00245695"/>
    <w:rsid w:val="002474B6"/>
    <w:rsid w:val="00251814"/>
    <w:rsid w:val="00251C4F"/>
    <w:rsid w:val="00252412"/>
    <w:rsid w:val="00252533"/>
    <w:rsid w:val="00252EEB"/>
    <w:rsid w:val="0025381A"/>
    <w:rsid w:val="00254B11"/>
    <w:rsid w:val="00255C03"/>
    <w:rsid w:val="00255ECC"/>
    <w:rsid w:val="00255FE0"/>
    <w:rsid w:val="00256D98"/>
    <w:rsid w:val="00256F47"/>
    <w:rsid w:val="00257130"/>
    <w:rsid w:val="0026030B"/>
    <w:rsid w:val="0026071F"/>
    <w:rsid w:val="002607FA"/>
    <w:rsid w:val="00261AB9"/>
    <w:rsid w:val="00262D01"/>
    <w:rsid w:val="002630EA"/>
    <w:rsid w:val="00263C1E"/>
    <w:rsid w:val="002672B8"/>
    <w:rsid w:val="00270035"/>
    <w:rsid w:val="002710EC"/>
    <w:rsid w:val="00271141"/>
    <w:rsid w:val="00271469"/>
    <w:rsid w:val="002717E2"/>
    <w:rsid w:val="002723DE"/>
    <w:rsid w:val="0027307C"/>
    <w:rsid w:val="00273165"/>
    <w:rsid w:val="00273264"/>
    <w:rsid w:val="00274862"/>
    <w:rsid w:val="00275486"/>
    <w:rsid w:val="00275829"/>
    <w:rsid w:val="00276290"/>
    <w:rsid w:val="00277915"/>
    <w:rsid w:val="00277F77"/>
    <w:rsid w:val="002822EF"/>
    <w:rsid w:val="002838D2"/>
    <w:rsid w:val="002854ED"/>
    <w:rsid w:val="002859CD"/>
    <w:rsid w:val="00286C4F"/>
    <w:rsid w:val="002924F9"/>
    <w:rsid w:val="00292B2A"/>
    <w:rsid w:val="00292E40"/>
    <w:rsid w:val="00293832"/>
    <w:rsid w:val="00293959"/>
    <w:rsid w:val="00293D00"/>
    <w:rsid w:val="00293E92"/>
    <w:rsid w:val="0029485F"/>
    <w:rsid w:val="0029621B"/>
    <w:rsid w:val="00296610"/>
    <w:rsid w:val="002976BA"/>
    <w:rsid w:val="0029785C"/>
    <w:rsid w:val="002A06F7"/>
    <w:rsid w:val="002A0FF5"/>
    <w:rsid w:val="002A196B"/>
    <w:rsid w:val="002A1E43"/>
    <w:rsid w:val="002A2713"/>
    <w:rsid w:val="002A2BCC"/>
    <w:rsid w:val="002A513E"/>
    <w:rsid w:val="002A5567"/>
    <w:rsid w:val="002A5C13"/>
    <w:rsid w:val="002A6A78"/>
    <w:rsid w:val="002A6FC2"/>
    <w:rsid w:val="002A7ECC"/>
    <w:rsid w:val="002B0ECD"/>
    <w:rsid w:val="002B14BC"/>
    <w:rsid w:val="002B1A66"/>
    <w:rsid w:val="002B2100"/>
    <w:rsid w:val="002B2906"/>
    <w:rsid w:val="002B4378"/>
    <w:rsid w:val="002B43BB"/>
    <w:rsid w:val="002B48E4"/>
    <w:rsid w:val="002B57DB"/>
    <w:rsid w:val="002B5E19"/>
    <w:rsid w:val="002B645D"/>
    <w:rsid w:val="002B6BD7"/>
    <w:rsid w:val="002B7360"/>
    <w:rsid w:val="002C01A6"/>
    <w:rsid w:val="002C1D39"/>
    <w:rsid w:val="002C2DC9"/>
    <w:rsid w:val="002C4D33"/>
    <w:rsid w:val="002C4EF6"/>
    <w:rsid w:val="002C6016"/>
    <w:rsid w:val="002C60E9"/>
    <w:rsid w:val="002C6409"/>
    <w:rsid w:val="002C64D2"/>
    <w:rsid w:val="002C68F2"/>
    <w:rsid w:val="002C71B0"/>
    <w:rsid w:val="002C7F85"/>
    <w:rsid w:val="002D14B1"/>
    <w:rsid w:val="002D1B0A"/>
    <w:rsid w:val="002D1F99"/>
    <w:rsid w:val="002D282E"/>
    <w:rsid w:val="002D2942"/>
    <w:rsid w:val="002D3551"/>
    <w:rsid w:val="002D3752"/>
    <w:rsid w:val="002D380B"/>
    <w:rsid w:val="002D3F64"/>
    <w:rsid w:val="002D412D"/>
    <w:rsid w:val="002D4729"/>
    <w:rsid w:val="002D478E"/>
    <w:rsid w:val="002D50D0"/>
    <w:rsid w:val="002D5BB0"/>
    <w:rsid w:val="002D7030"/>
    <w:rsid w:val="002D76C3"/>
    <w:rsid w:val="002E0925"/>
    <w:rsid w:val="002E1190"/>
    <w:rsid w:val="002E284B"/>
    <w:rsid w:val="002E2867"/>
    <w:rsid w:val="002E2900"/>
    <w:rsid w:val="002E30C2"/>
    <w:rsid w:val="002E3E0C"/>
    <w:rsid w:val="002E3E72"/>
    <w:rsid w:val="002E5662"/>
    <w:rsid w:val="002E7149"/>
    <w:rsid w:val="002F14A6"/>
    <w:rsid w:val="002F1CB7"/>
    <w:rsid w:val="002F203A"/>
    <w:rsid w:val="002F226A"/>
    <w:rsid w:val="002F236F"/>
    <w:rsid w:val="002F3581"/>
    <w:rsid w:val="002F64AA"/>
    <w:rsid w:val="002F71D0"/>
    <w:rsid w:val="002F74A0"/>
    <w:rsid w:val="00300138"/>
    <w:rsid w:val="003020FF"/>
    <w:rsid w:val="00302226"/>
    <w:rsid w:val="00303D88"/>
    <w:rsid w:val="00303FE6"/>
    <w:rsid w:val="00304DCB"/>
    <w:rsid w:val="003052A2"/>
    <w:rsid w:val="00305A61"/>
    <w:rsid w:val="00306220"/>
    <w:rsid w:val="00306F44"/>
    <w:rsid w:val="00310B3D"/>
    <w:rsid w:val="00311358"/>
    <w:rsid w:val="00311BB2"/>
    <w:rsid w:val="0031333B"/>
    <w:rsid w:val="00313400"/>
    <w:rsid w:val="003135DE"/>
    <w:rsid w:val="00314676"/>
    <w:rsid w:val="00315289"/>
    <w:rsid w:val="00315649"/>
    <w:rsid w:val="00315A51"/>
    <w:rsid w:val="00316D7A"/>
    <w:rsid w:val="00317DF0"/>
    <w:rsid w:val="00317F24"/>
    <w:rsid w:val="00320526"/>
    <w:rsid w:val="00320D21"/>
    <w:rsid w:val="00321F67"/>
    <w:rsid w:val="003226D8"/>
    <w:rsid w:val="00323D57"/>
    <w:rsid w:val="003243D3"/>
    <w:rsid w:val="00324B59"/>
    <w:rsid w:val="003274E9"/>
    <w:rsid w:val="003275CD"/>
    <w:rsid w:val="003276F3"/>
    <w:rsid w:val="00331517"/>
    <w:rsid w:val="00332544"/>
    <w:rsid w:val="00333765"/>
    <w:rsid w:val="00334AB2"/>
    <w:rsid w:val="003355B7"/>
    <w:rsid w:val="00336F21"/>
    <w:rsid w:val="00337C56"/>
    <w:rsid w:val="003406BB"/>
    <w:rsid w:val="00341141"/>
    <w:rsid w:val="0034188A"/>
    <w:rsid w:val="00341D49"/>
    <w:rsid w:val="00342187"/>
    <w:rsid w:val="00342892"/>
    <w:rsid w:val="00342FAF"/>
    <w:rsid w:val="003441C0"/>
    <w:rsid w:val="00344804"/>
    <w:rsid w:val="00344BC2"/>
    <w:rsid w:val="003459D7"/>
    <w:rsid w:val="003466F0"/>
    <w:rsid w:val="00347636"/>
    <w:rsid w:val="003514FA"/>
    <w:rsid w:val="003525F3"/>
    <w:rsid w:val="003529BF"/>
    <w:rsid w:val="00353143"/>
    <w:rsid w:val="00354A44"/>
    <w:rsid w:val="00355781"/>
    <w:rsid w:val="00356875"/>
    <w:rsid w:val="00356886"/>
    <w:rsid w:val="00357572"/>
    <w:rsid w:val="00357BD0"/>
    <w:rsid w:val="003604AF"/>
    <w:rsid w:val="00360707"/>
    <w:rsid w:val="00360D6C"/>
    <w:rsid w:val="0036272A"/>
    <w:rsid w:val="003634F6"/>
    <w:rsid w:val="00363704"/>
    <w:rsid w:val="00364C5F"/>
    <w:rsid w:val="00365100"/>
    <w:rsid w:val="003660F8"/>
    <w:rsid w:val="0036730D"/>
    <w:rsid w:val="003713AF"/>
    <w:rsid w:val="00371409"/>
    <w:rsid w:val="0037155C"/>
    <w:rsid w:val="00371E1E"/>
    <w:rsid w:val="00371E55"/>
    <w:rsid w:val="00372183"/>
    <w:rsid w:val="00372F53"/>
    <w:rsid w:val="00373A8B"/>
    <w:rsid w:val="00373C93"/>
    <w:rsid w:val="00373D78"/>
    <w:rsid w:val="00375A56"/>
    <w:rsid w:val="003761F6"/>
    <w:rsid w:val="0037652E"/>
    <w:rsid w:val="003775CF"/>
    <w:rsid w:val="00377937"/>
    <w:rsid w:val="003802A4"/>
    <w:rsid w:val="003807A8"/>
    <w:rsid w:val="0038174E"/>
    <w:rsid w:val="00382AB1"/>
    <w:rsid w:val="0038340A"/>
    <w:rsid w:val="00384838"/>
    <w:rsid w:val="00384A4E"/>
    <w:rsid w:val="0038566C"/>
    <w:rsid w:val="0038604C"/>
    <w:rsid w:val="003861BD"/>
    <w:rsid w:val="0038726C"/>
    <w:rsid w:val="00387349"/>
    <w:rsid w:val="00387802"/>
    <w:rsid w:val="00387A93"/>
    <w:rsid w:val="00387E9A"/>
    <w:rsid w:val="00390147"/>
    <w:rsid w:val="00390BDE"/>
    <w:rsid w:val="00390D62"/>
    <w:rsid w:val="003919A5"/>
    <w:rsid w:val="003928E4"/>
    <w:rsid w:val="003939F2"/>
    <w:rsid w:val="00396961"/>
    <w:rsid w:val="00397348"/>
    <w:rsid w:val="003978C3"/>
    <w:rsid w:val="00397D29"/>
    <w:rsid w:val="003A11FB"/>
    <w:rsid w:val="003A1459"/>
    <w:rsid w:val="003A3EDC"/>
    <w:rsid w:val="003A41D7"/>
    <w:rsid w:val="003A5571"/>
    <w:rsid w:val="003A6263"/>
    <w:rsid w:val="003A6767"/>
    <w:rsid w:val="003A7191"/>
    <w:rsid w:val="003A7F16"/>
    <w:rsid w:val="003B08F4"/>
    <w:rsid w:val="003B108C"/>
    <w:rsid w:val="003B1A10"/>
    <w:rsid w:val="003B1FEC"/>
    <w:rsid w:val="003B2C7E"/>
    <w:rsid w:val="003B37C0"/>
    <w:rsid w:val="003B69DE"/>
    <w:rsid w:val="003B6B28"/>
    <w:rsid w:val="003B6B89"/>
    <w:rsid w:val="003B6E99"/>
    <w:rsid w:val="003B6EC3"/>
    <w:rsid w:val="003B6F6A"/>
    <w:rsid w:val="003C0545"/>
    <w:rsid w:val="003C197A"/>
    <w:rsid w:val="003C1D17"/>
    <w:rsid w:val="003C227D"/>
    <w:rsid w:val="003C30E2"/>
    <w:rsid w:val="003C3381"/>
    <w:rsid w:val="003C3BC9"/>
    <w:rsid w:val="003C3FE3"/>
    <w:rsid w:val="003C40D9"/>
    <w:rsid w:val="003C477B"/>
    <w:rsid w:val="003C48B4"/>
    <w:rsid w:val="003C49ED"/>
    <w:rsid w:val="003C52D4"/>
    <w:rsid w:val="003C6577"/>
    <w:rsid w:val="003C6B6E"/>
    <w:rsid w:val="003D0797"/>
    <w:rsid w:val="003D1148"/>
    <w:rsid w:val="003D1156"/>
    <w:rsid w:val="003D4754"/>
    <w:rsid w:val="003D5044"/>
    <w:rsid w:val="003D6916"/>
    <w:rsid w:val="003D7980"/>
    <w:rsid w:val="003E069C"/>
    <w:rsid w:val="003E0A04"/>
    <w:rsid w:val="003E2D21"/>
    <w:rsid w:val="003E5044"/>
    <w:rsid w:val="003E626B"/>
    <w:rsid w:val="003E6536"/>
    <w:rsid w:val="003E794E"/>
    <w:rsid w:val="003E7D73"/>
    <w:rsid w:val="003F1E1F"/>
    <w:rsid w:val="003F234B"/>
    <w:rsid w:val="003F2437"/>
    <w:rsid w:val="003F3570"/>
    <w:rsid w:val="003F35B6"/>
    <w:rsid w:val="003F3DCE"/>
    <w:rsid w:val="003F3DE0"/>
    <w:rsid w:val="003F3F59"/>
    <w:rsid w:val="003F64FE"/>
    <w:rsid w:val="003F7E06"/>
    <w:rsid w:val="00400590"/>
    <w:rsid w:val="00401003"/>
    <w:rsid w:val="00401BCC"/>
    <w:rsid w:val="004020A3"/>
    <w:rsid w:val="004036C5"/>
    <w:rsid w:val="00407209"/>
    <w:rsid w:val="004076F0"/>
    <w:rsid w:val="00412230"/>
    <w:rsid w:val="004123F4"/>
    <w:rsid w:val="00412AB1"/>
    <w:rsid w:val="004132C6"/>
    <w:rsid w:val="0041331C"/>
    <w:rsid w:val="004138E9"/>
    <w:rsid w:val="00413C69"/>
    <w:rsid w:val="00414D80"/>
    <w:rsid w:val="004172ED"/>
    <w:rsid w:val="00417612"/>
    <w:rsid w:val="00420F85"/>
    <w:rsid w:val="004216E3"/>
    <w:rsid w:val="00424EA1"/>
    <w:rsid w:val="0042540A"/>
    <w:rsid w:val="00425CBD"/>
    <w:rsid w:val="004260A1"/>
    <w:rsid w:val="00427225"/>
    <w:rsid w:val="00427536"/>
    <w:rsid w:val="0043024D"/>
    <w:rsid w:val="004303B3"/>
    <w:rsid w:val="00430AAF"/>
    <w:rsid w:val="00431123"/>
    <w:rsid w:val="00431B5B"/>
    <w:rsid w:val="00432755"/>
    <w:rsid w:val="00432892"/>
    <w:rsid w:val="00432F6D"/>
    <w:rsid w:val="004335E9"/>
    <w:rsid w:val="00433849"/>
    <w:rsid w:val="00433CD3"/>
    <w:rsid w:val="00433DA1"/>
    <w:rsid w:val="00434FD2"/>
    <w:rsid w:val="00435400"/>
    <w:rsid w:val="00437114"/>
    <w:rsid w:val="004375F0"/>
    <w:rsid w:val="00437E09"/>
    <w:rsid w:val="0044120E"/>
    <w:rsid w:val="004414FA"/>
    <w:rsid w:val="00441EBC"/>
    <w:rsid w:val="00442700"/>
    <w:rsid w:val="00442D7A"/>
    <w:rsid w:val="00443AAD"/>
    <w:rsid w:val="004446AD"/>
    <w:rsid w:val="00444815"/>
    <w:rsid w:val="004453D7"/>
    <w:rsid w:val="00445E8C"/>
    <w:rsid w:val="00446347"/>
    <w:rsid w:val="00446E5F"/>
    <w:rsid w:val="00452313"/>
    <w:rsid w:val="00452AEE"/>
    <w:rsid w:val="00453BF7"/>
    <w:rsid w:val="0045436F"/>
    <w:rsid w:val="00454B7B"/>
    <w:rsid w:val="00456984"/>
    <w:rsid w:val="00456ED6"/>
    <w:rsid w:val="004574B1"/>
    <w:rsid w:val="00457928"/>
    <w:rsid w:val="00460945"/>
    <w:rsid w:val="004611D1"/>
    <w:rsid w:val="004628A9"/>
    <w:rsid w:val="00462A8A"/>
    <w:rsid w:val="00462D96"/>
    <w:rsid w:val="004630EC"/>
    <w:rsid w:val="00463134"/>
    <w:rsid w:val="004635F2"/>
    <w:rsid w:val="00466A81"/>
    <w:rsid w:val="0046758D"/>
    <w:rsid w:val="00467945"/>
    <w:rsid w:val="0046795A"/>
    <w:rsid w:val="00467A3F"/>
    <w:rsid w:val="00470443"/>
    <w:rsid w:val="004704EA"/>
    <w:rsid w:val="0047178E"/>
    <w:rsid w:val="004725D0"/>
    <w:rsid w:val="004737D6"/>
    <w:rsid w:val="0047486F"/>
    <w:rsid w:val="00474CC2"/>
    <w:rsid w:val="004752EF"/>
    <w:rsid w:val="00475B67"/>
    <w:rsid w:val="00475D15"/>
    <w:rsid w:val="00475DB6"/>
    <w:rsid w:val="0047615A"/>
    <w:rsid w:val="004776BE"/>
    <w:rsid w:val="00480B9C"/>
    <w:rsid w:val="00480BEE"/>
    <w:rsid w:val="00481E13"/>
    <w:rsid w:val="004821E2"/>
    <w:rsid w:val="004832F2"/>
    <w:rsid w:val="004832F8"/>
    <w:rsid w:val="0048339F"/>
    <w:rsid w:val="00484021"/>
    <w:rsid w:val="00484752"/>
    <w:rsid w:val="00484D1A"/>
    <w:rsid w:val="0048559C"/>
    <w:rsid w:val="00485BA4"/>
    <w:rsid w:val="00490BAA"/>
    <w:rsid w:val="004916DF"/>
    <w:rsid w:val="00491C57"/>
    <w:rsid w:val="00492BB3"/>
    <w:rsid w:val="0049322A"/>
    <w:rsid w:val="0049331C"/>
    <w:rsid w:val="004933B8"/>
    <w:rsid w:val="00493427"/>
    <w:rsid w:val="004939E1"/>
    <w:rsid w:val="00495B5B"/>
    <w:rsid w:val="00496773"/>
    <w:rsid w:val="00496A54"/>
    <w:rsid w:val="0049730A"/>
    <w:rsid w:val="0049769A"/>
    <w:rsid w:val="00497AC7"/>
    <w:rsid w:val="004A10D5"/>
    <w:rsid w:val="004A1AC4"/>
    <w:rsid w:val="004A1BAE"/>
    <w:rsid w:val="004A212A"/>
    <w:rsid w:val="004A4523"/>
    <w:rsid w:val="004A453C"/>
    <w:rsid w:val="004A4B4B"/>
    <w:rsid w:val="004A54A0"/>
    <w:rsid w:val="004A6F31"/>
    <w:rsid w:val="004A7652"/>
    <w:rsid w:val="004A77A0"/>
    <w:rsid w:val="004B01D0"/>
    <w:rsid w:val="004B0704"/>
    <w:rsid w:val="004B1C6E"/>
    <w:rsid w:val="004B3BAF"/>
    <w:rsid w:val="004B47BC"/>
    <w:rsid w:val="004B58A6"/>
    <w:rsid w:val="004B5C2E"/>
    <w:rsid w:val="004B5F2A"/>
    <w:rsid w:val="004B6543"/>
    <w:rsid w:val="004B6AD4"/>
    <w:rsid w:val="004B750F"/>
    <w:rsid w:val="004B76D2"/>
    <w:rsid w:val="004B7B86"/>
    <w:rsid w:val="004B7E37"/>
    <w:rsid w:val="004C055F"/>
    <w:rsid w:val="004C2886"/>
    <w:rsid w:val="004C61C1"/>
    <w:rsid w:val="004D11DC"/>
    <w:rsid w:val="004D15CA"/>
    <w:rsid w:val="004D3B2E"/>
    <w:rsid w:val="004D3C28"/>
    <w:rsid w:val="004D4920"/>
    <w:rsid w:val="004D6CC3"/>
    <w:rsid w:val="004D6F7E"/>
    <w:rsid w:val="004E0961"/>
    <w:rsid w:val="004E0CC6"/>
    <w:rsid w:val="004E2C9A"/>
    <w:rsid w:val="004E2F35"/>
    <w:rsid w:val="004E2F6C"/>
    <w:rsid w:val="004E3B5D"/>
    <w:rsid w:val="004E45FF"/>
    <w:rsid w:val="004E4B13"/>
    <w:rsid w:val="004E5125"/>
    <w:rsid w:val="004E5198"/>
    <w:rsid w:val="004E55BC"/>
    <w:rsid w:val="004E6381"/>
    <w:rsid w:val="004E6BAE"/>
    <w:rsid w:val="004E7000"/>
    <w:rsid w:val="004E783B"/>
    <w:rsid w:val="004E7DB0"/>
    <w:rsid w:val="004F0721"/>
    <w:rsid w:val="004F136B"/>
    <w:rsid w:val="004F1DB2"/>
    <w:rsid w:val="004F1FD6"/>
    <w:rsid w:val="004F20A0"/>
    <w:rsid w:val="004F3A66"/>
    <w:rsid w:val="004F3B15"/>
    <w:rsid w:val="004F45FF"/>
    <w:rsid w:val="004F50CF"/>
    <w:rsid w:val="004F5320"/>
    <w:rsid w:val="004F5485"/>
    <w:rsid w:val="004F5869"/>
    <w:rsid w:val="004F5D95"/>
    <w:rsid w:val="00500AAD"/>
    <w:rsid w:val="00501013"/>
    <w:rsid w:val="00501A85"/>
    <w:rsid w:val="00501C05"/>
    <w:rsid w:val="00501C1C"/>
    <w:rsid w:val="00503854"/>
    <w:rsid w:val="005047AC"/>
    <w:rsid w:val="00505033"/>
    <w:rsid w:val="005052A4"/>
    <w:rsid w:val="0050673D"/>
    <w:rsid w:val="00506A1E"/>
    <w:rsid w:val="00507017"/>
    <w:rsid w:val="005114D0"/>
    <w:rsid w:val="005126A1"/>
    <w:rsid w:val="005127AA"/>
    <w:rsid w:val="0051406B"/>
    <w:rsid w:val="005143F8"/>
    <w:rsid w:val="00514465"/>
    <w:rsid w:val="00516CA8"/>
    <w:rsid w:val="00516EA5"/>
    <w:rsid w:val="0051787E"/>
    <w:rsid w:val="005205DA"/>
    <w:rsid w:val="0052115C"/>
    <w:rsid w:val="005212E5"/>
    <w:rsid w:val="00521425"/>
    <w:rsid w:val="005221E1"/>
    <w:rsid w:val="00523546"/>
    <w:rsid w:val="00523BAA"/>
    <w:rsid w:val="00526183"/>
    <w:rsid w:val="00526833"/>
    <w:rsid w:val="0052752E"/>
    <w:rsid w:val="00527600"/>
    <w:rsid w:val="0053078B"/>
    <w:rsid w:val="00530A42"/>
    <w:rsid w:val="005311A4"/>
    <w:rsid w:val="00531481"/>
    <w:rsid w:val="0053192A"/>
    <w:rsid w:val="00531B57"/>
    <w:rsid w:val="0053318F"/>
    <w:rsid w:val="0053382B"/>
    <w:rsid w:val="00534CDA"/>
    <w:rsid w:val="005351C3"/>
    <w:rsid w:val="00536154"/>
    <w:rsid w:val="0053686F"/>
    <w:rsid w:val="00536903"/>
    <w:rsid w:val="00537238"/>
    <w:rsid w:val="00537EB6"/>
    <w:rsid w:val="005402F3"/>
    <w:rsid w:val="00543A8C"/>
    <w:rsid w:val="00543F43"/>
    <w:rsid w:val="00544E5F"/>
    <w:rsid w:val="00544E7F"/>
    <w:rsid w:val="005466EF"/>
    <w:rsid w:val="005472A2"/>
    <w:rsid w:val="0055018A"/>
    <w:rsid w:val="00551263"/>
    <w:rsid w:val="00551DC0"/>
    <w:rsid w:val="00552051"/>
    <w:rsid w:val="00552EE0"/>
    <w:rsid w:val="0055581B"/>
    <w:rsid w:val="00556A46"/>
    <w:rsid w:val="00557ABA"/>
    <w:rsid w:val="0056108B"/>
    <w:rsid w:val="005613A4"/>
    <w:rsid w:val="005615EF"/>
    <w:rsid w:val="005619FF"/>
    <w:rsid w:val="00561D4E"/>
    <w:rsid w:val="00562708"/>
    <w:rsid w:val="005631B1"/>
    <w:rsid w:val="00563933"/>
    <w:rsid w:val="00564040"/>
    <w:rsid w:val="00565455"/>
    <w:rsid w:val="00565C82"/>
    <w:rsid w:val="00566326"/>
    <w:rsid w:val="00567743"/>
    <w:rsid w:val="00567918"/>
    <w:rsid w:val="00571308"/>
    <w:rsid w:val="005725FA"/>
    <w:rsid w:val="005730F0"/>
    <w:rsid w:val="00573D2C"/>
    <w:rsid w:val="00573E6B"/>
    <w:rsid w:val="00574A88"/>
    <w:rsid w:val="0057539C"/>
    <w:rsid w:val="00575F08"/>
    <w:rsid w:val="0057633C"/>
    <w:rsid w:val="00576C05"/>
    <w:rsid w:val="005778DD"/>
    <w:rsid w:val="00577FBB"/>
    <w:rsid w:val="00580B9F"/>
    <w:rsid w:val="00580FDF"/>
    <w:rsid w:val="00581163"/>
    <w:rsid w:val="00581B34"/>
    <w:rsid w:val="00582047"/>
    <w:rsid w:val="005821A6"/>
    <w:rsid w:val="0058392E"/>
    <w:rsid w:val="00584770"/>
    <w:rsid w:val="00584B08"/>
    <w:rsid w:val="00584CA7"/>
    <w:rsid w:val="00585570"/>
    <w:rsid w:val="00586B39"/>
    <w:rsid w:val="00586E88"/>
    <w:rsid w:val="005875DF"/>
    <w:rsid w:val="00587A09"/>
    <w:rsid w:val="0059020A"/>
    <w:rsid w:val="00590963"/>
    <w:rsid w:val="00590968"/>
    <w:rsid w:val="00590B83"/>
    <w:rsid w:val="00590E26"/>
    <w:rsid w:val="00591740"/>
    <w:rsid w:val="00593B0F"/>
    <w:rsid w:val="005940A3"/>
    <w:rsid w:val="00594B1E"/>
    <w:rsid w:val="005956A6"/>
    <w:rsid w:val="0059754B"/>
    <w:rsid w:val="005A13C7"/>
    <w:rsid w:val="005A16A1"/>
    <w:rsid w:val="005A2CF2"/>
    <w:rsid w:val="005A30C1"/>
    <w:rsid w:val="005A37C1"/>
    <w:rsid w:val="005A3EE9"/>
    <w:rsid w:val="005A49A3"/>
    <w:rsid w:val="005A5422"/>
    <w:rsid w:val="005A6C4E"/>
    <w:rsid w:val="005A7431"/>
    <w:rsid w:val="005A74F4"/>
    <w:rsid w:val="005B00C7"/>
    <w:rsid w:val="005B01D2"/>
    <w:rsid w:val="005B1D58"/>
    <w:rsid w:val="005B4452"/>
    <w:rsid w:val="005B45D2"/>
    <w:rsid w:val="005B67BE"/>
    <w:rsid w:val="005B7068"/>
    <w:rsid w:val="005B7AD8"/>
    <w:rsid w:val="005B7BF3"/>
    <w:rsid w:val="005C053F"/>
    <w:rsid w:val="005C06CD"/>
    <w:rsid w:val="005C2A74"/>
    <w:rsid w:val="005C3452"/>
    <w:rsid w:val="005C34C6"/>
    <w:rsid w:val="005C4027"/>
    <w:rsid w:val="005C40BC"/>
    <w:rsid w:val="005C43C2"/>
    <w:rsid w:val="005C7D55"/>
    <w:rsid w:val="005D0F54"/>
    <w:rsid w:val="005D27CC"/>
    <w:rsid w:val="005D2A8F"/>
    <w:rsid w:val="005D380A"/>
    <w:rsid w:val="005D4240"/>
    <w:rsid w:val="005D4C38"/>
    <w:rsid w:val="005D535F"/>
    <w:rsid w:val="005D6431"/>
    <w:rsid w:val="005D6B26"/>
    <w:rsid w:val="005D6F56"/>
    <w:rsid w:val="005D77AC"/>
    <w:rsid w:val="005E0852"/>
    <w:rsid w:val="005E0E82"/>
    <w:rsid w:val="005E11ED"/>
    <w:rsid w:val="005E24A8"/>
    <w:rsid w:val="005E2A78"/>
    <w:rsid w:val="005E2FA7"/>
    <w:rsid w:val="005E3610"/>
    <w:rsid w:val="005E49BC"/>
    <w:rsid w:val="005E642A"/>
    <w:rsid w:val="005E6923"/>
    <w:rsid w:val="005E6E59"/>
    <w:rsid w:val="005E75C7"/>
    <w:rsid w:val="005F0218"/>
    <w:rsid w:val="005F06EB"/>
    <w:rsid w:val="005F1809"/>
    <w:rsid w:val="005F1C9E"/>
    <w:rsid w:val="005F4081"/>
    <w:rsid w:val="005F6A2B"/>
    <w:rsid w:val="005F6BF9"/>
    <w:rsid w:val="005F7706"/>
    <w:rsid w:val="005F7780"/>
    <w:rsid w:val="005F79D8"/>
    <w:rsid w:val="00601B9E"/>
    <w:rsid w:val="00602487"/>
    <w:rsid w:val="00604A86"/>
    <w:rsid w:val="00604C76"/>
    <w:rsid w:val="006068C6"/>
    <w:rsid w:val="00607FED"/>
    <w:rsid w:val="00611743"/>
    <w:rsid w:val="00611820"/>
    <w:rsid w:val="006119CF"/>
    <w:rsid w:val="00611B18"/>
    <w:rsid w:val="00613700"/>
    <w:rsid w:val="00613ED6"/>
    <w:rsid w:val="0061402C"/>
    <w:rsid w:val="0061420B"/>
    <w:rsid w:val="006156BC"/>
    <w:rsid w:val="00616530"/>
    <w:rsid w:val="006204D8"/>
    <w:rsid w:val="00620E7E"/>
    <w:rsid w:val="006214BF"/>
    <w:rsid w:val="00621F45"/>
    <w:rsid w:val="0062258D"/>
    <w:rsid w:val="00622A49"/>
    <w:rsid w:val="006239A3"/>
    <w:rsid w:val="00623B52"/>
    <w:rsid w:val="00623E7B"/>
    <w:rsid w:val="0062469C"/>
    <w:rsid w:val="006251E6"/>
    <w:rsid w:val="0062526B"/>
    <w:rsid w:val="0062569F"/>
    <w:rsid w:val="006258D4"/>
    <w:rsid w:val="00625C34"/>
    <w:rsid w:val="00626AB6"/>
    <w:rsid w:val="00626B9E"/>
    <w:rsid w:val="00630D51"/>
    <w:rsid w:val="0063146F"/>
    <w:rsid w:val="0063156C"/>
    <w:rsid w:val="00631EA1"/>
    <w:rsid w:val="006323C3"/>
    <w:rsid w:val="006324EB"/>
    <w:rsid w:val="00632A35"/>
    <w:rsid w:val="00632AD8"/>
    <w:rsid w:val="00632F92"/>
    <w:rsid w:val="00633E14"/>
    <w:rsid w:val="006343DA"/>
    <w:rsid w:val="0063465B"/>
    <w:rsid w:val="00634FCB"/>
    <w:rsid w:val="006354C1"/>
    <w:rsid w:val="00636527"/>
    <w:rsid w:val="00636E2B"/>
    <w:rsid w:val="00637C1F"/>
    <w:rsid w:val="00640C4F"/>
    <w:rsid w:val="00641660"/>
    <w:rsid w:val="00643611"/>
    <w:rsid w:val="006439F5"/>
    <w:rsid w:val="00644CE0"/>
    <w:rsid w:val="00644D17"/>
    <w:rsid w:val="00644D3B"/>
    <w:rsid w:val="00645900"/>
    <w:rsid w:val="006465C9"/>
    <w:rsid w:val="0064696F"/>
    <w:rsid w:val="0064721A"/>
    <w:rsid w:val="00647705"/>
    <w:rsid w:val="00647BB0"/>
    <w:rsid w:val="00647CC7"/>
    <w:rsid w:val="00647E19"/>
    <w:rsid w:val="00650BFA"/>
    <w:rsid w:val="00652860"/>
    <w:rsid w:val="00654245"/>
    <w:rsid w:val="006549B0"/>
    <w:rsid w:val="00654F25"/>
    <w:rsid w:val="006553F2"/>
    <w:rsid w:val="00655D1E"/>
    <w:rsid w:val="00657257"/>
    <w:rsid w:val="006577D9"/>
    <w:rsid w:val="00660BBA"/>
    <w:rsid w:val="00660CAE"/>
    <w:rsid w:val="006611FD"/>
    <w:rsid w:val="00662382"/>
    <w:rsid w:val="00662403"/>
    <w:rsid w:val="00662DB8"/>
    <w:rsid w:val="00662EEB"/>
    <w:rsid w:val="00662FEF"/>
    <w:rsid w:val="00666A73"/>
    <w:rsid w:val="00666B83"/>
    <w:rsid w:val="00666EE0"/>
    <w:rsid w:val="00667CEB"/>
    <w:rsid w:val="00667FF5"/>
    <w:rsid w:val="00671C4C"/>
    <w:rsid w:val="0067258B"/>
    <w:rsid w:val="0067293C"/>
    <w:rsid w:val="00672AF1"/>
    <w:rsid w:val="00673DF6"/>
    <w:rsid w:val="00673FE2"/>
    <w:rsid w:val="00674447"/>
    <w:rsid w:val="0067486A"/>
    <w:rsid w:val="006762A2"/>
    <w:rsid w:val="006775F6"/>
    <w:rsid w:val="00677E18"/>
    <w:rsid w:val="00680819"/>
    <w:rsid w:val="00680BDC"/>
    <w:rsid w:val="00681898"/>
    <w:rsid w:val="006819CB"/>
    <w:rsid w:val="00682896"/>
    <w:rsid w:val="0068338E"/>
    <w:rsid w:val="006834EC"/>
    <w:rsid w:val="00683858"/>
    <w:rsid w:val="006845B4"/>
    <w:rsid w:val="00684EAB"/>
    <w:rsid w:val="00685580"/>
    <w:rsid w:val="00685743"/>
    <w:rsid w:val="006877F0"/>
    <w:rsid w:val="00687C28"/>
    <w:rsid w:val="00687FF3"/>
    <w:rsid w:val="0069000C"/>
    <w:rsid w:val="00690BBB"/>
    <w:rsid w:val="00691ADC"/>
    <w:rsid w:val="00693882"/>
    <w:rsid w:val="00694391"/>
    <w:rsid w:val="0069458A"/>
    <w:rsid w:val="00694748"/>
    <w:rsid w:val="00694976"/>
    <w:rsid w:val="0069501B"/>
    <w:rsid w:val="00695116"/>
    <w:rsid w:val="0069511F"/>
    <w:rsid w:val="00695E66"/>
    <w:rsid w:val="006963AE"/>
    <w:rsid w:val="00696C1C"/>
    <w:rsid w:val="006A0E62"/>
    <w:rsid w:val="006A0E82"/>
    <w:rsid w:val="006A1B6F"/>
    <w:rsid w:val="006A3BDA"/>
    <w:rsid w:val="006A41A4"/>
    <w:rsid w:val="006A4376"/>
    <w:rsid w:val="006A48FD"/>
    <w:rsid w:val="006A4B70"/>
    <w:rsid w:val="006A54F5"/>
    <w:rsid w:val="006A673F"/>
    <w:rsid w:val="006A77FB"/>
    <w:rsid w:val="006A79FA"/>
    <w:rsid w:val="006A7B08"/>
    <w:rsid w:val="006A7D33"/>
    <w:rsid w:val="006A7EE1"/>
    <w:rsid w:val="006B04A7"/>
    <w:rsid w:val="006B05A8"/>
    <w:rsid w:val="006B1008"/>
    <w:rsid w:val="006B2053"/>
    <w:rsid w:val="006B25AA"/>
    <w:rsid w:val="006B2D3D"/>
    <w:rsid w:val="006B400C"/>
    <w:rsid w:val="006B41A4"/>
    <w:rsid w:val="006B4C03"/>
    <w:rsid w:val="006B4FA2"/>
    <w:rsid w:val="006B5175"/>
    <w:rsid w:val="006C0A23"/>
    <w:rsid w:val="006C0B18"/>
    <w:rsid w:val="006C1057"/>
    <w:rsid w:val="006C14B9"/>
    <w:rsid w:val="006C1AEC"/>
    <w:rsid w:val="006C282C"/>
    <w:rsid w:val="006C288E"/>
    <w:rsid w:val="006C2B6F"/>
    <w:rsid w:val="006C3131"/>
    <w:rsid w:val="006C3AAC"/>
    <w:rsid w:val="006C3F5B"/>
    <w:rsid w:val="006C44E8"/>
    <w:rsid w:val="006C49D5"/>
    <w:rsid w:val="006C5B9E"/>
    <w:rsid w:val="006C6FB6"/>
    <w:rsid w:val="006C714E"/>
    <w:rsid w:val="006D1019"/>
    <w:rsid w:val="006D242E"/>
    <w:rsid w:val="006D26B6"/>
    <w:rsid w:val="006D385A"/>
    <w:rsid w:val="006D38F7"/>
    <w:rsid w:val="006D4012"/>
    <w:rsid w:val="006D475F"/>
    <w:rsid w:val="006D6646"/>
    <w:rsid w:val="006E0F55"/>
    <w:rsid w:val="006E1B17"/>
    <w:rsid w:val="006E1C75"/>
    <w:rsid w:val="006E1DF7"/>
    <w:rsid w:val="006E24FE"/>
    <w:rsid w:val="006E34B9"/>
    <w:rsid w:val="006E3B08"/>
    <w:rsid w:val="006E50F5"/>
    <w:rsid w:val="006E511F"/>
    <w:rsid w:val="006E5232"/>
    <w:rsid w:val="006E6CA7"/>
    <w:rsid w:val="006E72FF"/>
    <w:rsid w:val="006E74C7"/>
    <w:rsid w:val="006E7926"/>
    <w:rsid w:val="006E7E3B"/>
    <w:rsid w:val="006F051E"/>
    <w:rsid w:val="006F160E"/>
    <w:rsid w:val="006F2B6E"/>
    <w:rsid w:val="006F306B"/>
    <w:rsid w:val="006F3CFF"/>
    <w:rsid w:val="006F4B4B"/>
    <w:rsid w:val="006F5454"/>
    <w:rsid w:val="006F5526"/>
    <w:rsid w:val="006F5BFF"/>
    <w:rsid w:val="007006DA"/>
    <w:rsid w:val="00701179"/>
    <w:rsid w:val="007013F4"/>
    <w:rsid w:val="00702B0B"/>
    <w:rsid w:val="00704208"/>
    <w:rsid w:val="00704F7C"/>
    <w:rsid w:val="0070515E"/>
    <w:rsid w:val="00710A6D"/>
    <w:rsid w:val="00710ABC"/>
    <w:rsid w:val="007115AB"/>
    <w:rsid w:val="007116D9"/>
    <w:rsid w:val="00711AFB"/>
    <w:rsid w:val="00711FD0"/>
    <w:rsid w:val="00712702"/>
    <w:rsid w:val="00712B6D"/>
    <w:rsid w:val="00712D8C"/>
    <w:rsid w:val="0071323C"/>
    <w:rsid w:val="007136A9"/>
    <w:rsid w:val="00714A55"/>
    <w:rsid w:val="00715FBE"/>
    <w:rsid w:val="00716235"/>
    <w:rsid w:val="007167CE"/>
    <w:rsid w:val="00716945"/>
    <w:rsid w:val="00717486"/>
    <w:rsid w:val="0071769F"/>
    <w:rsid w:val="00720265"/>
    <w:rsid w:val="007210C4"/>
    <w:rsid w:val="0072117D"/>
    <w:rsid w:val="007213CE"/>
    <w:rsid w:val="00721855"/>
    <w:rsid w:val="00721AFE"/>
    <w:rsid w:val="0072223A"/>
    <w:rsid w:val="007229B3"/>
    <w:rsid w:val="00722CB7"/>
    <w:rsid w:val="00722E73"/>
    <w:rsid w:val="007246BB"/>
    <w:rsid w:val="00725AC5"/>
    <w:rsid w:val="007266F2"/>
    <w:rsid w:val="00727B10"/>
    <w:rsid w:val="0073063C"/>
    <w:rsid w:val="007307B9"/>
    <w:rsid w:val="00730DAE"/>
    <w:rsid w:val="00731050"/>
    <w:rsid w:val="0073169A"/>
    <w:rsid w:val="0073208C"/>
    <w:rsid w:val="007337C9"/>
    <w:rsid w:val="00733D2F"/>
    <w:rsid w:val="00734400"/>
    <w:rsid w:val="007347AD"/>
    <w:rsid w:val="00735218"/>
    <w:rsid w:val="00737983"/>
    <w:rsid w:val="00740D25"/>
    <w:rsid w:val="00741ABC"/>
    <w:rsid w:val="007425FB"/>
    <w:rsid w:val="007449B6"/>
    <w:rsid w:val="007457D3"/>
    <w:rsid w:val="00745AC8"/>
    <w:rsid w:val="0074610D"/>
    <w:rsid w:val="007463EA"/>
    <w:rsid w:val="00746CAD"/>
    <w:rsid w:val="00747178"/>
    <w:rsid w:val="0074734C"/>
    <w:rsid w:val="007500C1"/>
    <w:rsid w:val="0075080E"/>
    <w:rsid w:val="00751373"/>
    <w:rsid w:val="0075251F"/>
    <w:rsid w:val="00752AB8"/>
    <w:rsid w:val="0075404B"/>
    <w:rsid w:val="00754A9C"/>
    <w:rsid w:val="007550CD"/>
    <w:rsid w:val="007554FE"/>
    <w:rsid w:val="00756AA4"/>
    <w:rsid w:val="007573D0"/>
    <w:rsid w:val="0075743F"/>
    <w:rsid w:val="007578E0"/>
    <w:rsid w:val="0076022B"/>
    <w:rsid w:val="0076090C"/>
    <w:rsid w:val="00760AE2"/>
    <w:rsid w:val="00760D42"/>
    <w:rsid w:val="00764ECA"/>
    <w:rsid w:val="00765B4D"/>
    <w:rsid w:val="00765F8A"/>
    <w:rsid w:val="00767398"/>
    <w:rsid w:val="00770586"/>
    <w:rsid w:val="00770B5F"/>
    <w:rsid w:val="0077111A"/>
    <w:rsid w:val="00771D31"/>
    <w:rsid w:val="00772065"/>
    <w:rsid w:val="00772444"/>
    <w:rsid w:val="007744E8"/>
    <w:rsid w:val="00774E7E"/>
    <w:rsid w:val="007759B8"/>
    <w:rsid w:val="00775F14"/>
    <w:rsid w:val="00776431"/>
    <w:rsid w:val="00777189"/>
    <w:rsid w:val="00777383"/>
    <w:rsid w:val="007773A4"/>
    <w:rsid w:val="007778FA"/>
    <w:rsid w:val="00777CE8"/>
    <w:rsid w:val="0078007D"/>
    <w:rsid w:val="00780BDE"/>
    <w:rsid w:val="00781E24"/>
    <w:rsid w:val="00783D21"/>
    <w:rsid w:val="0078638E"/>
    <w:rsid w:val="00787FBA"/>
    <w:rsid w:val="00790E22"/>
    <w:rsid w:val="0079171A"/>
    <w:rsid w:val="00791F9A"/>
    <w:rsid w:val="0079200E"/>
    <w:rsid w:val="00793259"/>
    <w:rsid w:val="00793DE2"/>
    <w:rsid w:val="007940F8"/>
    <w:rsid w:val="00795803"/>
    <w:rsid w:val="00796C9A"/>
    <w:rsid w:val="0079770E"/>
    <w:rsid w:val="00797F8A"/>
    <w:rsid w:val="007A0107"/>
    <w:rsid w:val="007A0A5D"/>
    <w:rsid w:val="007A19A7"/>
    <w:rsid w:val="007A2169"/>
    <w:rsid w:val="007A2CEA"/>
    <w:rsid w:val="007A3F7B"/>
    <w:rsid w:val="007A4506"/>
    <w:rsid w:val="007A46E5"/>
    <w:rsid w:val="007A4C37"/>
    <w:rsid w:val="007A5238"/>
    <w:rsid w:val="007A57B0"/>
    <w:rsid w:val="007A57C3"/>
    <w:rsid w:val="007A5CF0"/>
    <w:rsid w:val="007A5E24"/>
    <w:rsid w:val="007A6ACD"/>
    <w:rsid w:val="007A7353"/>
    <w:rsid w:val="007A77E7"/>
    <w:rsid w:val="007A78DA"/>
    <w:rsid w:val="007A78E2"/>
    <w:rsid w:val="007A7F10"/>
    <w:rsid w:val="007B03A0"/>
    <w:rsid w:val="007B0540"/>
    <w:rsid w:val="007B07AB"/>
    <w:rsid w:val="007B0C63"/>
    <w:rsid w:val="007B0E1C"/>
    <w:rsid w:val="007B11F1"/>
    <w:rsid w:val="007B1833"/>
    <w:rsid w:val="007B1C8A"/>
    <w:rsid w:val="007B23C3"/>
    <w:rsid w:val="007B2DEF"/>
    <w:rsid w:val="007B2F8F"/>
    <w:rsid w:val="007B3023"/>
    <w:rsid w:val="007B345A"/>
    <w:rsid w:val="007B3BEC"/>
    <w:rsid w:val="007B5159"/>
    <w:rsid w:val="007B5756"/>
    <w:rsid w:val="007B6440"/>
    <w:rsid w:val="007B7CE8"/>
    <w:rsid w:val="007B7E78"/>
    <w:rsid w:val="007B7F01"/>
    <w:rsid w:val="007C128C"/>
    <w:rsid w:val="007C1D71"/>
    <w:rsid w:val="007C1F56"/>
    <w:rsid w:val="007C2140"/>
    <w:rsid w:val="007C389A"/>
    <w:rsid w:val="007C39B0"/>
    <w:rsid w:val="007C3E9E"/>
    <w:rsid w:val="007C5BA1"/>
    <w:rsid w:val="007C674D"/>
    <w:rsid w:val="007C6B5F"/>
    <w:rsid w:val="007C778E"/>
    <w:rsid w:val="007C796C"/>
    <w:rsid w:val="007D07EB"/>
    <w:rsid w:val="007D17F4"/>
    <w:rsid w:val="007D19A3"/>
    <w:rsid w:val="007D2323"/>
    <w:rsid w:val="007D2FBC"/>
    <w:rsid w:val="007D318F"/>
    <w:rsid w:val="007D3E88"/>
    <w:rsid w:val="007D4124"/>
    <w:rsid w:val="007D4D9B"/>
    <w:rsid w:val="007D4EED"/>
    <w:rsid w:val="007D584F"/>
    <w:rsid w:val="007D61DE"/>
    <w:rsid w:val="007D6D0F"/>
    <w:rsid w:val="007D7864"/>
    <w:rsid w:val="007E1078"/>
    <w:rsid w:val="007E1C34"/>
    <w:rsid w:val="007E2182"/>
    <w:rsid w:val="007E290A"/>
    <w:rsid w:val="007E2CF2"/>
    <w:rsid w:val="007E439D"/>
    <w:rsid w:val="007E522F"/>
    <w:rsid w:val="007E5588"/>
    <w:rsid w:val="007E670A"/>
    <w:rsid w:val="007E6E48"/>
    <w:rsid w:val="007F0163"/>
    <w:rsid w:val="007F0DD1"/>
    <w:rsid w:val="007F0F54"/>
    <w:rsid w:val="007F1158"/>
    <w:rsid w:val="007F1417"/>
    <w:rsid w:val="007F2465"/>
    <w:rsid w:val="007F2D33"/>
    <w:rsid w:val="007F3439"/>
    <w:rsid w:val="007F3C12"/>
    <w:rsid w:val="007F46A6"/>
    <w:rsid w:val="007F503A"/>
    <w:rsid w:val="007F563F"/>
    <w:rsid w:val="007F7208"/>
    <w:rsid w:val="008000ED"/>
    <w:rsid w:val="008002D2"/>
    <w:rsid w:val="008003DB"/>
    <w:rsid w:val="00800DF1"/>
    <w:rsid w:val="00801D37"/>
    <w:rsid w:val="00802180"/>
    <w:rsid w:val="00802A90"/>
    <w:rsid w:val="008039CB"/>
    <w:rsid w:val="00803B73"/>
    <w:rsid w:val="008040AC"/>
    <w:rsid w:val="00804293"/>
    <w:rsid w:val="0080518B"/>
    <w:rsid w:val="008057ED"/>
    <w:rsid w:val="00805A6D"/>
    <w:rsid w:val="00805ECD"/>
    <w:rsid w:val="008062D0"/>
    <w:rsid w:val="008077AD"/>
    <w:rsid w:val="00810DBE"/>
    <w:rsid w:val="008110CE"/>
    <w:rsid w:val="00811241"/>
    <w:rsid w:val="00811331"/>
    <w:rsid w:val="00812A6A"/>
    <w:rsid w:val="00813F4A"/>
    <w:rsid w:val="0081469E"/>
    <w:rsid w:val="00815549"/>
    <w:rsid w:val="00815797"/>
    <w:rsid w:val="00816EE4"/>
    <w:rsid w:val="00817A91"/>
    <w:rsid w:val="00817B76"/>
    <w:rsid w:val="008223F5"/>
    <w:rsid w:val="00822B2F"/>
    <w:rsid w:val="00823250"/>
    <w:rsid w:val="00823653"/>
    <w:rsid w:val="00823786"/>
    <w:rsid w:val="00823AB4"/>
    <w:rsid w:val="00824040"/>
    <w:rsid w:val="00824D7A"/>
    <w:rsid w:val="00825213"/>
    <w:rsid w:val="00825771"/>
    <w:rsid w:val="00825944"/>
    <w:rsid w:val="0082633F"/>
    <w:rsid w:val="008267D9"/>
    <w:rsid w:val="00827718"/>
    <w:rsid w:val="00827FF2"/>
    <w:rsid w:val="008305DC"/>
    <w:rsid w:val="00830F64"/>
    <w:rsid w:val="00831210"/>
    <w:rsid w:val="00831F95"/>
    <w:rsid w:val="00831F99"/>
    <w:rsid w:val="00832677"/>
    <w:rsid w:val="008341A6"/>
    <w:rsid w:val="00834DED"/>
    <w:rsid w:val="00835CA9"/>
    <w:rsid w:val="0083612D"/>
    <w:rsid w:val="00837463"/>
    <w:rsid w:val="00840430"/>
    <w:rsid w:val="008407F6"/>
    <w:rsid w:val="008408A4"/>
    <w:rsid w:val="00840A46"/>
    <w:rsid w:val="00841D10"/>
    <w:rsid w:val="008424ED"/>
    <w:rsid w:val="00842508"/>
    <w:rsid w:val="00842C25"/>
    <w:rsid w:val="008441A1"/>
    <w:rsid w:val="00844897"/>
    <w:rsid w:val="00844A3B"/>
    <w:rsid w:val="00845175"/>
    <w:rsid w:val="0084624F"/>
    <w:rsid w:val="008468F4"/>
    <w:rsid w:val="00850445"/>
    <w:rsid w:val="0085073C"/>
    <w:rsid w:val="008508BF"/>
    <w:rsid w:val="00850D77"/>
    <w:rsid w:val="008527DC"/>
    <w:rsid w:val="00853991"/>
    <w:rsid w:val="00854619"/>
    <w:rsid w:val="00855FBB"/>
    <w:rsid w:val="00856058"/>
    <w:rsid w:val="00856146"/>
    <w:rsid w:val="00857264"/>
    <w:rsid w:val="00857F97"/>
    <w:rsid w:val="008607BC"/>
    <w:rsid w:val="00861CBB"/>
    <w:rsid w:val="00861E8C"/>
    <w:rsid w:val="00861EFD"/>
    <w:rsid w:val="0086202B"/>
    <w:rsid w:val="0086292E"/>
    <w:rsid w:val="00863A20"/>
    <w:rsid w:val="00863F06"/>
    <w:rsid w:val="00864098"/>
    <w:rsid w:val="008640EA"/>
    <w:rsid w:val="00864892"/>
    <w:rsid w:val="00865EF0"/>
    <w:rsid w:val="00866975"/>
    <w:rsid w:val="00866F4D"/>
    <w:rsid w:val="00871FC6"/>
    <w:rsid w:val="00872025"/>
    <w:rsid w:val="00872850"/>
    <w:rsid w:val="00872C77"/>
    <w:rsid w:val="00872FEC"/>
    <w:rsid w:val="008738A5"/>
    <w:rsid w:val="00874928"/>
    <w:rsid w:val="00875297"/>
    <w:rsid w:val="00876152"/>
    <w:rsid w:val="008779A2"/>
    <w:rsid w:val="00880464"/>
    <w:rsid w:val="008813F9"/>
    <w:rsid w:val="00881ADC"/>
    <w:rsid w:val="00881C2D"/>
    <w:rsid w:val="008838C2"/>
    <w:rsid w:val="00883A5E"/>
    <w:rsid w:val="00883F66"/>
    <w:rsid w:val="008845C4"/>
    <w:rsid w:val="008846E5"/>
    <w:rsid w:val="00885F3A"/>
    <w:rsid w:val="0088783C"/>
    <w:rsid w:val="008907CE"/>
    <w:rsid w:val="00890856"/>
    <w:rsid w:val="00890941"/>
    <w:rsid w:val="008910CA"/>
    <w:rsid w:val="0089144B"/>
    <w:rsid w:val="00891488"/>
    <w:rsid w:val="0089296E"/>
    <w:rsid w:val="00893DFC"/>
    <w:rsid w:val="008964F0"/>
    <w:rsid w:val="00896EB5"/>
    <w:rsid w:val="008A17E9"/>
    <w:rsid w:val="008A313D"/>
    <w:rsid w:val="008A36CC"/>
    <w:rsid w:val="008A3BB5"/>
    <w:rsid w:val="008A3D5E"/>
    <w:rsid w:val="008A3EEB"/>
    <w:rsid w:val="008A4782"/>
    <w:rsid w:val="008A4999"/>
    <w:rsid w:val="008A4B93"/>
    <w:rsid w:val="008A54DF"/>
    <w:rsid w:val="008A6378"/>
    <w:rsid w:val="008A6A5A"/>
    <w:rsid w:val="008B00ED"/>
    <w:rsid w:val="008B0CB2"/>
    <w:rsid w:val="008B14CA"/>
    <w:rsid w:val="008B1683"/>
    <w:rsid w:val="008B3422"/>
    <w:rsid w:val="008B4EDF"/>
    <w:rsid w:val="008B559D"/>
    <w:rsid w:val="008B70CC"/>
    <w:rsid w:val="008C02DB"/>
    <w:rsid w:val="008C0AE5"/>
    <w:rsid w:val="008C1E7E"/>
    <w:rsid w:val="008C34D7"/>
    <w:rsid w:val="008C4C08"/>
    <w:rsid w:val="008C5C45"/>
    <w:rsid w:val="008C605B"/>
    <w:rsid w:val="008D01D5"/>
    <w:rsid w:val="008D0641"/>
    <w:rsid w:val="008D1A45"/>
    <w:rsid w:val="008D1CC3"/>
    <w:rsid w:val="008D5676"/>
    <w:rsid w:val="008D5677"/>
    <w:rsid w:val="008D5B6B"/>
    <w:rsid w:val="008D6986"/>
    <w:rsid w:val="008D6B03"/>
    <w:rsid w:val="008D7131"/>
    <w:rsid w:val="008E0B82"/>
    <w:rsid w:val="008E0D6D"/>
    <w:rsid w:val="008E1D6D"/>
    <w:rsid w:val="008E202E"/>
    <w:rsid w:val="008E2625"/>
    <w:rsid w:val="008E279A"/>
    <w:rsid w:val="008E2B01"/>
    <w:rsid w:val="008E3A33"/>
    <w:rsid w:val="008E3FA9"/>
    <w:rsid w:val="008E4722"/>
    <w:rsid w:val="008E476B"/>
    <w:rsid w:val="008E4BC2"/>
    <w:rsid w:val="008E4C73"/>
    <w:rsid w:val="008E63BE"/>
    <w:rsid w:val="008E73D3"/>
    <w:rsid w:val="008F00CF"/>
    <w:rsid w:val="008F0C85"/>
    <w:rsid w:val="008F1E3D"/>
    <w:rsid w:val="008F253F"/>
    <w:rsid w:val="008F2922"/>
    <w:rsid w:val="008F2FEC"/>
    <w:rsid w:val="008F57FB"/>
    <w:rsid w:val="008F5D28"/>
    <w:rsid w:val="008F6491"/>
    <w:rsid w:val="008F6B2E"/>
    <w:rsid w:val="008F72BD"/>
    <w:rsid w:val="008F75AE"/>
    <w:rsid w:val="009032DA"/>
    <w:rsid w:val="009033C5"/>
    <w:rsid w:val="00903D20"/>
    <w:rsid w:val="00903D62"/>
    <w:rsid w:val="00904A40"/>
    <w:rsid w:val="009050FD"/>
    <w:rsid w:val="00905430"/>
    <w:rsid w:val="00905DA9"/>
    <w:rsid w:val="00907A39"/>
    <w:rsid w:val="00910AE7"/>
    <w:rsid w:val="00910D50"/>
    <w:rsid w:val="009110D4"/>
    <w:rsid w:val="00912D0E"/>
    <w:rsid w:val="0091398A"/>
    <w:rsid w:val="00914499"/>
    <w:rsid w:val="0091493D"/>
    <w:rsid w:val="00914ADD"/>
    <w:rsid w:val="009155A5"/>
    <w:rsid w:val="0091643B"/>
    <w:rsid w:val="00916865"/>
    <w:rsid w:val="00920AF4"/>
    <w:rsid w:val="00921702"/>
    <w:rsid w:val="00921888"/>
    <w:rsid w:val="009218DE"/>
    <w:rsid w:val="00922364"/>
    <w:rsid w:val="00922838"/>
    <w:rsid w:val="009229EF"/>
    <w:rsid w:val="00924797"/>
    <w:rsid w:val="00924CDC"/>
    <w:rsid w:val="00925069"/>
    <w:rsid w:val="009254FE"/>
    <w:rsid w:val="009265A7"/>
    <w:rsid w:val="0092722D"/>
    <w:rsid w:val="00927792"/>
    <w:rsid w:val="009301BD"/>
    <w:rsid w:val="00930CF7"/>
    <w:rsid w:val="009323C2"/>
    <w:rsid w:val="0093345B"/>
    <w:rsid w:val="00933E2E"/>
    <w:rsid w:val="009345A3"/>
    <w:rsid w:val="00934C6F"/>
    <w:rsid w:val="009370EC"/>
    <w:rsid w:val="00937D83"/>
    <w:rsid w:val="00937EA8"/>
    <w:rsid w:val="00940634"/>
    <w:rsid w:val="009410DE"/>
    <w:rsid w:val="00941C4C"/>
    <w:rsid w:val="009425BC"/>
    <w:rsid w:val="009426EF"/>
    <w:rsid w:val="00943890"/>
    <w:rsid w:val="00944665"/>
    <w:rsid w:val="00944842"/>
    <w:rsid w:val="00944D85"/>
    <w:rsid w:val="00946FD2"/>
    <w:rsid w:val="0094739F"/>
    <w:rsid w:val="00951215"/>
    <w:rsid w:val="009512E2"/>
    <w:rsid w:val="00951B67"/>
    <w:rsid w:val="0095207F"/>
    <w:rsid w:val="009529E3"/>
    <w:rsid w:val="00952B65"/>
    <w:rsid w:val="00952BE1"/>
    <w:rsid w:val="00954B04"/>
    <w:rsid w:val="00955986"/>
    <w:rsid w:val="00956878"/>
    <w:rsid w:val="009570FB"/>
    <w:rsid w:val="00962143"/>
    <w:rsid w:val="00962244"/>
    <w:rsid w:val="009622AD"/>
    <w:rsid w:val="0096274D"/>
    <w:rsid w:val="00964860"/>
    <w:rsid w:val="00964E27"/>
    <w:rsid w:val="00965282"/>
    <w:rsid w:val="00965B8A"/>
    <w:rsid w:val="0096715C"/>
    <w:rsid w:val="00970E88"/>
    <w:rsid w:val="009710C5"/>
    <w:rsid w:val="00971B3D"/>
    <w:rsid w:val="00971E34"/>
    <w:rsid w:val="00972835"/>
    <w:rsid w:val="0097377C"/>
    <w:rsid w:val="00973D55"/>
    <w:rsid w:val="00973FBE"/>
    <w:rsid w:val="009756FE"/>
    <w:rsid w:val="00975D3D"/>
    <w:rsid w:val="00976099"/>
    <w:rsid w:val="009766D3"/>
    <w:rsid w:val="00976D4B"/>
    <w:rsid w:val="00980AE3"/>
    <w:rsid w:val="00981438"/>
    <w:rsid w:val="009821BC"/>
    <w:rsid w:val="00982DF9"/>
    <w:rsid w:val="0098450A"/>
    <w:rsid w:val="00984914"/>
    <w:rsid w:val="00985F11"/>
    <w:rsid w:val="00990025"/>
    <w:rsid w:val="009908ED"/>
    <w:rsid w:val="00990A28"/>
    <w:rsid w:val="009929CF"/>
    <w:rsid w:val="009930BA"/>
    <w:rsid w:val="0099320D"/>
    <w:rsid w:val="00994024"/>
    <w:rsid w:val="009944EC"/>
    <w:rsid w:val="00994854"/>
    <w:rsid w:val="00995230"/>
    <w:rsid w:val="00995EB6"/>
    <w:rsid w:val="009960D5"/>
    <w:rsid w:val="00997A0F"/>
    <w:rsid w:val="009A07C4"/>
    <w:rsid w:val="009A0FAF"/>
    <w:rsid w:val="009A2072"/>
    <w:rsid w:val="009A2E33"/>
    <w:rsid w:val="009A3065"/>
    <w:rsid w:val="009A35DD"/>
    <w:rsid w:val="009A3AF5"/>
    <w:rsid w:val="009A4FB3"/>
    <w:rsid w:val="009A553C"/>
    <w:rsid w:val="009A5872"/>
    <w:rsid w:val="009A7C75"/>
    <w:rsid w:val="009B0B27"/>
    <w:rsid w:val="009B1058"/>
    <w:rsid w:val="009B2356"/>
    <w:rsid w:val="009B2AAB"/>
    <w:rsid w:val="009B2E0F"/>
    <w:rsid w:val="009B3085"/>
    <w:rsid w:val="009B332C"/>
    <w:rsid w:val="009B4623"/>
    <w:rsid w:val="009B4832"/>
    <w:rsid w:val="009B4F8E"/>
    <w:rsid w:val="009B52A5"/>
    <w:rsid w:val="009B6321"/>
    <w:rsid w:val="009B6C95"/>
    <w:rsid w:val="009C062D"/>
    <w:rsid w:val="009C086C"/>
    <w:rsid w:val="009C0921"/>
    <w:rsid w:val="009C0AAA"/>
    <w:rsid w:val="009C0EF2"/>
    <w:rsid w:val="009C1885"/>
    <w:rsid w:val="009C33B8"/>
    <w:rsid w:val="009C395E"/>
    <w:rsid w:val="009C4FF8"/>
    <w:rsid w:val="009C59FA"/>
    <w:rsid w:val="009C654F"/>
    <w:rsid w:val="009C7B8F"/>
    <w:rsid w:val="009D08DA"/>
    <w:rsid w:val="009D09FD"/>
    <w:rsid w:val="009D0D7A"/>
    <w:rsid w:val="009D1B70"/>
    <w:rsid w:val="009D2160"/>
    <w:rsid w:val="009D2198"/>
    <w:rsid w:val="009D2D74"/>
    <w:rsid w:val="009D2F3C"/>
    <w:rsid w:val="009D3FFD"/>
    <w:rsid w:val="009D46E5"/>
    <w:rsid w:val="009D59FA"/>
    <w:rsid w:val="009D5F80"/>
    <w:rsid w:val="009D7288"/>
    <w:rsid w:val="009D7608"/>
    <w:rsid w:val="009E1793"/>
    <w:rsid w:val="009E1DD4"/>
    <w:rsid w:val="009E20BA"/>
    <w:rsid w:val="009E31AA"/>
    <w:rsid w:val="009E34B4"/>
    <w:rsid w:val="009E3E0F"/>
    <w:rsid w:val="009E4809"/>
    <w:rsid w:val="009E4B92"/>
    <w:rsid w:val="009E688A"/>
    <w:rsid w:val="009E68CD"/>
    <w:rsid w:val="009E7C19"/>
    <w:rsid w:val="009F16CB"/>
    <w:rsid w:val="009F1A4A"/>
    <w:rsid w:val="009F203A"/>
    <w:rsid w:val="009F2B0C"/>
    <w:rsid w:val="009F3985"/>
    <w:rsid w:val="009F5242"/>
    <w:rsid w:val="00A000D8"/>
    <w:rsid w:val="00A00272"/>
    <w:rsid w:val="00A0084C"/>
    <w:rsid w:val="00A01D77"/>
    <w:rsid w:val="00A01E2D"/>
    <w:rsid w:val="00A01F4A"/>
    <w:rsid w:val="00A02FDD"/>
    <w:rsid w:val="00A05810"/>
    <w:rsid w:val="00A06013"/>
    <w:rsid w:val="00A06CB4"/>
    <w:rsid w:val="00A07E4E"/>
    <w:rsid w:val="00A109D7"/>
    <w:rsid w:val="00A12361"/>
    <w:rsid w:val="00A12A7D"/>
    <w:rsid w:val="00A137D8"/>
    <w:rsid w:val="00A1391A"/>
    <w:rsid w:val="00A13DF5"/>
    <w:rsid w:val="00A153F0"/>
    <w:rsid w:val="00A15976"/>
    <w:rsid w:val="00A16C22"/>
    <w:rsid w:val="00A16F1D"/>
    <w:rsid w:val="00A17751"/>
    <w:rsid w:val="00A17E3C"/>
    <w:rsid w:val="00A17FAE"/>
    <w:rsid w:val="00A20961"/>
    <w:rsid w:val="00A231DE"/>
    <w:rsid w:val="00A23917"/>
    <w:rsid w:val="00A26166"/>
    <w:rsid w:val="00A27716"/>
    <w:rsid w:val="00A34525"/>
    <w:rsid w:val="00A357DF"/>
    <w:rsid w:val="00A35975"/>
    <w:rsid w:val="00A369F7"/>
    <w:rsid w:val="00A36AAF"/>
    <w:rsid w:val="00A4049C"/>
    <w:rsid w:val="00A406DD"/>
    <w:rsid w:val="00A40B35"/>
    <w:rsid w:val="00A414E3"/>
    <w:rsid w:val="00A41A47"/>
    <w:rsid w:val="00A420D4"/>
    <w:rsid w:val="00A42810"/>
    <w:rsid w:val="00A43829"/>
    <w:rsid w:val="00A44259"/>
    <w:rsid w:val="00A44974"/>
    <w:rsid w:val="00A4578C"/>
    <w:rsid w:val="00A45796"/>
    <w:rsid w:val="00A45A46"/>
    <w:rsid w:val="00A47AD2"/>
    <w:rsid w:val="00A47D3E"/>
    <w:rsid w:val="00A51AD1"/>
    <w:rsid w:val="00A532F5"/>
    <w:rsid w:val="00A53DC3"/>
    <w:rsid w:val="00A552CF"/>
    <w:rsid w:val="00A55DDF"/>
    <w:rsid w:val="00A5716D"/>
    <w:rsid w:val="00A57577"/>
    <w:rsid w:val="00A5792C"/>
    <w:rsid w:val="00A61D5F"/>
    <w:rsid w:val="00A62CCE"/>
    <w:rsid w:val="00A631D4"/>
    <w:rsid w:val="00A634A9"/>
    <w:rsid w:val="00A63935"/>
    <w:rsid w:val="00A63E7F"/>
    <w:rsid w:val="00A65410"/>
    <w:rsid w:val="00A66922"/>
    <w:rsid w:val="00A66DF5"/>
    <w:rsid w:val="00A676D5"/>
    <w:rsid w:val="00A70CEB"/>
    <w:rsid w:val="00A7105A"/>
    <w:rsid w:val="00A7111E"/>
    <w:rsid w:val="00A71334"/>
    <w:rsid w:val="00A71903"/>
    <w:rsid w:val="00A71E45"/>
    <w:rsid w:val="00A727A5"/>
    <w:rsid w:val="00A73064"/>
    <w:rsid w:val="00A74A0B"/>
    <w:rsid w:val="00A767D6"/>
    <w:rsid w:val="00A778DC"/>
    <w:rsid w:val="00A77E9B"/>
    <w:rsid w:val="00A80344"/>
    <w:rsid w:val="00A80E95"/>
    <w:rsid w:val="00A80F5F"/>
    <w:rsid w:val="00A8182F"/>
    <w:rsid w:val="00A81BC8"/>
    <w:rsid w:val="00A82ED4"/>
    <w:rsid w:val="00A83A0D"/>
    <w:rsid w:val="00A84303"/>
    <w:rsid w:val="00A869D5"/>
    <w:rsid w:val="00A90022"/>
    <w:rsid w:val="00A914F8"/>
    <w:rsid w:val="00A91961"/>
    <w:rsid w:val="00A926D5"/>
    <w:rsid w:val="00A92879"/>
    <w:rsid w:val="00A928B1"/>
    <w:rsid w:val="00A929A5"/>
    <w:rsid w:val="00A931FC"/>
    <w:rsid w:val="00A93BE0"/>
    <w:rsid w:val="00A94116"/>
    <w:rsid w:val="00A949A6"/>
    <w:rsid w:val="00A9509D"/>
    <w:rsid w:val="00A9609B"/>
    <w:rsid w:val="00A9696F"/>
    <w:rsid w:val="00AA0374"/>
    <w:rsid w:val="00AA0C2B"/>
    <w:rsid w:val="00AA1EFA"/>
    <w:rsid w:val="00AA204A"/>
    <w:rsid w:val="00AA2B73"/>
    <w:rsid w:val="00AA39B3"/>
    <w:rsid w:val="00AA5CA0"/>
    <w:rsid w:val="00AA642B"/>
    <w:rsid w:val="00AA6B49"/>
    <w:rsid w:val="00AA763D"/>
    <w:rsid w:val="00AB00D4"/>
    <w:rsid w:val="00AB052A"/>
    <w:rsid w:val="00AB0885"/>
    <w:rsid w:val="00AB0DCD"/>
    <w:rsid w:val="00AB0EEB"/>
    <w:rsid w:val="00AB110D"/>
    <w:rsid w:val="00AB1F79"/>
    <w:rsid w:val="00AB2089"/>
    <w:rsid w:val="00AB28BB"/>
    <w:rsid w:val="00AB2E1C"/>
    <w:rsid w:val="00AB30C3"/>
    <w:rsid w:val="00AB41D1"/>
    <w:rsid w:val="00AB42BE"/>
    <w:rsid w:val="00AB470D"/>
    <w:rsid w:val="00AB51F5"/>
    <w:rsid w:val="00AB5679"/>
    <w:rsid w:val="00AB5737"/>
    <w:rsid w:val="00AB5F71"/>
    <w:rsid w:val="00AB6559"/>
    <w:rsid w:val="00AB6576"/>
    <w:rsid w:val="00AB7E02"/>
    <w:rsid w:val="00AC08EC"/>
    <w:rsid w:val="00AC0D33"/>
    <w:rsid w:val="00AC1017"/>
    <w:rsid w:val="00AC1E19"/>
    <w:rsid w:val="00AC2F95"/>
    <w:rsid w:val="00AC5870"/>
    <w:rsid w:val="00AC6C44"/>
    <w:rsid w:val="00AC74B8"/>
    <w:rsid w:val="00AC7E31"/>
    <w:rsid w:val="00AD1022"/>
    <w:rsid w:val="00AD14CD"/>
    <w:rsid w:val="00AD20A1"/>
    <w:rsid w:val="00AD2B28"/>
    <w:rsid w:val="00AD319D"/>
    <w:rsid w:val="00AD31C4"/>
    <w:rsid w:val="00AD512C"/>
    <w:rsid w:val="00AD6637"/>
    <w:rsid w:val="00AD6786"/>
    <w:rsid w:val="00AD6A2C"/>
    <w:rsid w:val="00AD6F31"/>
    <w:rsid w:val="00AD719E"/>
    <w:rsid w:val="00AE0147"/>
    <w:rsid w:val="00AE1A98"/>
    <w:rsid w:val="00AE26F0"/>
    <w:rsid w:val="00AE34AE"/>
    <w:rsid w:val="00AE500C"/>
    <w:rsid w:val="00AE7416"/>
    <w:rsid w:val="00AF0113"/>
    <w:rsid w:val="00AF01F1"/>
    <w:rsid w:val="00AF0414"/>
    <w:rsid w:val="00AF3162"/>
    <w:rsid w:val="00AF464E"/>
    <w:rsid w:val="00AF50A7"/>
    <w:rsid w:val="00AF560B"/>
    <w:rsid w:val="00AF666E"/>
    <w:rsid w:val="00AF67DE"/>
    <w:rsid w:val="00AF681A"/>
    <w:rsid w:val="00AF6FA1"/>
    <w:rsid w:val="00AF7369"/>
    <w:rsid w:val="00B002B3"/>
    <w:rsid w:val="00B00A2C"/>
    <w:rsid w:val="00B00F12"/>
    <w:rsid w:val="00B01289"/>
    <w:rsid w:val="00B015C0"/>
    <w:rsid w:val="00B01A52"/>
    <w:rsid w:val="00B0217D"/>
    <w:rsid w:val="00B02629"/>
    <w:rsid w:val="00B026CA"/>
    <w:rsid w:val="00B0275A"/>
    <w:rsid w:val="00B03354"/>
    <w:rsid w:val="00B03430"/>
    <w:rsid w:val="00B039C7"/>
    <w:rsid w:val="00B0444A"/>
    <w:rsid w:val="00B04737"/>
    <w:rsid w:val="00B04B36"/>
    <w:rsid w:val="00B0691C"/>
    <w:rsid w:val="00B10A8D"/>
    <w:rsid w:val="00B11959"/>
    <w:rsid w:val="00B140A7"/>
    <w:rsid w:val="00B145C3"/>
    <w:rsid w:val="00B1467D"/>
    <w:rsid w:val="00B14FEF"/>
    <w:rsid w:val="00B15C48"/>
    <w:rsid w:val="00B15CDA"/>
    <w:rsid w:val="00B16512"/>
    <w:rsid w:val="00B17009"/>
    <w:rsid w:val="00B1751B"/>
    <w:rsid w:val="00B17BF3"/>
    <w:rsid w:val="00B2093C"/>
    <w:rsid w:val="00B217FC"/>
    <w:rsid w:val="00B23226"/>
    <w:rsid w:val="00B23389"/>
    <w:rsid w:val="00B24333"/>
    <w:rsid w:val="00B24BA9"/>
    <w:rsid w:val="00B25277"/>
    <w:rsid w:val="00B255AD"/>
    <w:rsid w:val="00B25A65"/>
    <w:rsid w:val="00B2608E"/>
    <w:rsid w:val="00B2663F"/>
    <w:rsid w:val="00B26B0B"/>
    <w:rsid w:val="00B270EE"/>
    <w:rsid w:val="00B271DA"/>
    <w:rsid w:val="00B301E0"/>
    <w:rsid w:val="00B30985"/>
    <w:rsid w:val="00B31564"/>
    <w:rsid w:val="00B319C1"/>
    <w:rsid w:val="00B31B14"/>
    <w:rsid w:val="00B32547"/>
    <w:rsid w:val="00B327D7"/>
    <w:rsid w:val="00B33440"/>
    <w:rsid w:val="00B34CDE"/>
    <w:rsid w:val="00B34FD2"/>
    <w:rsid w:val="00B36AF8"/>
    <w:rsid w:val="00B400D3"/>
    <w:rsid w:val="00B40348"/>
    <w:rsid w:val="00B40683"/>
    <w:rsid w:val="00B4086D"/>
    <w:rsid w:val="00B40EC3"/>
    <w:rsid w:val="00B43822"/>
    <w:rsid w:val="00B43F79"/>
    <w:rsid w:val="00B446A0"/>
    <w:rsid w:val="00B458C0"/>
    <w:rsid w:val="00B45E81"/>
    <w:rsid w:val="00B46E44"/>
    <w:rsid w:val="00B470F8"/>
    <w:rsid w:val="00B51527"/>
    <w:rsid w:val="00B5388F"/>
    <w:rsid w:val="00B53D8F"/>
    <w:rsid w:val="00B5433D"/>
    <w:rsid w:val="00B5517C"/>
    <w:rsid w:val="00B55825"/>
    <w:rsid w:val="00B55A07"/>
    <w:rsid w:val="00B55B4C"/>
    <w:rsid w:val="00B578F4"/>
    <w:rsid w:val="00B57B9B"/>
    <w:rsid w:val="00B610D5"/>
    <w:rsid w:val="00B61B89"/>
    <w:rsid w:val="00B61FE1"/>
    <w:rsid w:val="00B621B1"/>
    <w:rsid w:val="00B62691"/>
    <w:rsid w:val="00B628FD"/>
    <w:rsid w:val="00B62944"/>
    <w:rsid w:val="00B629CE"/>
    <w:rsid w:val="00B6304A"/>
    <w:rsid w:val="00B63707"/>
    <w:rsid w:val="00B639D0"/>
    <w:rsid w:val="00B63F96"/>
    <w:rsid w:val="00B64A82"/>
    <w:rsid w:val="00B65A14"/>
    <w:rsid w:val="00B65F51"/>
    <w:rsid w:val="00B671D1"/>
    <w:rsid w:val="00B67512"/>
    <w:rsid w:val="00B67B54"/>
    <w:rsid w:val="00B7247C"/>
    <w:rsid w:val="00B72E98"/>
    <w:rsid w:val="00B73E81"/>
    <w:rsid w:val="00B73FCD"/>
    <w:rsid w:val="00B746AF"/>
    <w:rsid w:val="00B756C8"/>
    <w:rsid w:val="00B768B6"/>
    <w:rsid w:val="00B772A7"/>
    <w:rsid w:val="00B775AE"/>
    <w:rsid w:val="00B81033"/>
    <w:rsid w:val="00B81157"/>
    <w:rsid w:val="00B82CE5"/>
    <w:rsid w:val="00B83443"/>
    <w:rsid w:val="00B84BAE"/>
    <w:rsid w:val="00B84F3D"/>
    <w:rsid w:val="00B85171"/>
    <w:rsid w:val="00B86146"/>
    <w:rsid w:val="00B8708C"/>
    <w:rsid w:val="00B8776E"/>
    <w:rsid w:val="00B87CAB"/>
    <w:rsid w:val="00B90492"/>
    <w:rsid w:val="00B90620"/>
    <w:rsid w:val="00B9252C"/>
    <w:rsid w:val="00B93EBE"/>
    <w:rsid w:val="00B9433E"/>
    <w:rsid w:val="00B9434D"/>
    <w:rsid w:val="00B943DF"/>
    <w:rsid w:val="00B94516"/>
    <w:rsid w:val="00B948A1"/>
    <w:rsid w:val="00B95224"/>
    <w:rsid w:val="00B95B38"/>
    <w:rsid w:val="00B9677E"/>
    <w:rsid w:val="00B96798"/>
    <w:rsid w:val="00B96F17"/>
    <w:rsid w:val="00B9786C"/>
    <w:rsid w:val="00BA045C"/>
    <w:rsid w:val="00BA0B84"/>
    <w:rsid w:val="00BA2343"/>
    <w:rsid w:val="00BA2359"/>
    <w:rsid w:val="00BA3252"/>
    <w:rsid w:val="00BA37DD"/>
    <w:rsid w:val="00BA4A11"/>
    <w:rsid w:val="00BA4BD2"/>
    <w:rsid w:val="00BA5ED9"/>
    <w:rsid w:val="00BA62FA"/>
    <w:rsid w:val="00BA6A05"/>
    <w:rsid w:val="00BA6C6F"/>
    <w:rsid w:val="00BA6DDC"/>
    <w:rsid w:val="00BA789A"/>
    <w:rsid w:val="00BB0811"/>
    <w:rsid w:val="00BB1BF2"/>
    <w:rsid w:val="00BB2159"/>
    <w:rsid w:val="00BB2434"/>
    <w:rsid w:val="00BB3438"/>
    <w:rsid w:val="00BB51EA"/>
    <w:rsid w:val="00BB52BD"/>
    <w:rsid w:val="00BB52D0"/>
    <w:rsid w:val="00BB5D9D"/>
    <w:rsid w:val="00BB6889"/>
    <w:rsid w:val="00BB68FF"/>
    <w:rsid w:val="00BB6F41"/>
    <w:rsid w:val="00BB78CE"/>
    <w:rsid w:val="00BB7B56"/>
    <w:rsid w:val="00BB7D8A"/>
    <w:rsid w:val="00BC0414"/>
    <w:rsid w:val="00BC2349"/>
    <w:rsid w:val="00BC2C2C"/>
    <w:rsid w:val="00BC3A3F"/>
    <w:rsid w:val="00BC57CE"/>
    <w:rsid w:val="00BC6B87"/>
    <w:rsid w:val="00BC7F0F"/>
    <w:rsid w:val="00BD02F3"/>
    <w:rsid w:val="00BD188D"/>
    <w:rsid w:val="00BD1A80"/>
    <w:rsid w:val="00BD2029"/>
    <w:rsid w:val="00BD4217"/>
    <w:rsid w:val="00BD5245"/>
    <w:rsid w:val="00BD7E1E"/>
    <w:rsid w:val="00BE12D7"/>
    <w:rsid w:val="00BE1C99"/>
    <w:rsid w:val="00BE4D51"/>
    <w:rsid w:val="00BE524B"/>
    <w:rsid w:val="00BE5497"/>
    <w:rsid w:val="00BE7DA9"/>
    <w:rsid w:val="00BF1838"/>
    <w:rsid w:val="00BF252B"/>
    <w:rsid w:val="00BF2534"/>
    <w:rsid w:val="00BF2CE0"/>
    <w:rsid w:val="00BF3317"/>
    <w:rsid w:val="00BF3A5E"/>
    <w:rsid w:val="00BF42DE"/>
    <w:rsid w:val="00BF530E"/>
    <w:rsid w:val="00BF5501"/>
    <w:rsid w:val="00BF62B2"/>
    <w:rsid w:val="00BF7771"/>
    <w:rsid w:val="00C00231"/>
    <w:rsid w:val="00C00BF0"/>
    <w:rsid w:val="00C00D0F"/>
    <w:rsid w:val="00C00F7B"/>
    <w:rsid w:val="00C010AA"/>
    <w:rsid w:val="00C011DB"/>
    <w:rsid w:val="00C01738"/>
    <w:rsid w:val="00C02FB4"/>
    <w:rsid w:val="00C03667"/>
    <w:rsid w:val="00C03AD2"/>
    <w:rsid w:val="00C044C0"/>
    <w:rsid w:val="00C04FA1"/>
    <w:rsid w:val="00C0619C"/>
    <w:rsid w:val="00C071D7"/>
    <w:rsid w:val="00C0769B"/>
    <w:rsid w:val="00C07867"/>
    <w:rsid w:val="00C11663"/>
    <w:rsid w:val="00C11B86"/>
    <w:rsid w:val="00C1220C"/>
    <w:rsid w:val="00C12B5F"/>
    <w:rsid w:val="00C14932"/>
    <w:rsid w:val="00C157C0"/>
    <w:rsid w:val="00C16429"/>
    <w:rsid w:val="00C16EB0"/>
    <w:rsid w:val="00C1738C"/>
    <w:rsid w:val="00C20667"/>
    <w:rsid w:val="00C20962"/>
    <w:rsid w:val="00C211FC"/>
    <w:rsid w:val="00C22313"/>
    <w:rsid w:val="00C23367"/>
    <w:rsid w:val="00C234D4"/>
    <w:rsid w:val="00C235BE"/>
    <w:rsid w:val="00C239B7"/>
    <w:rsid w:val="00C23D83"/>
    <w:rsid w:val="00C246AC"/>
    <w:rsid w:val="00C248C6"/>
    <w:rsid w:val="00C24A3A"/>
    <w:rsid w:val="00C27B59"/>
    <w:rsid w:val="00C314B0"/>
    <w:rsid w:val="00C32B0D"/>
    <w:rsid w:val="00C33F02"/>
    <w:rsid w:val="00C340C6"/>
    <w:rsid w:val="00C347DB"/>
    <w:rsid w:val="00C351CC"/>
    <w:rsid w:val="00C353A2"/>
    <w:rsid w:val="00C36962"/>
    <w:rsid w:val="00C3764B"/>
    <w:rsid w:val="00C37A6D"/>
    <w:rsid w:val="00C40115"/>
    <w:rsid w:val="00C40563"/>
    <w:rsid w:val="00C409DB"/>
    <w:rsid w:val="00C41A20"/>
    <w:rsid w:val="00C430EF"/>
    <w:rsid w:val="00C438A9"/>
    <w:rsid w:val="00C44052"/>
    <w:rsid w:val="00C443D0"/>
    <w:rsid w:val="00C45826"/>
    <w:rsid w:val="00C458BD"/>
    <w:rsid w:val="00C45BDD"/>
    <w:rsid w:val="00C460BC"/>
    <w:rsid w:val="00C4616D"/>
    <w:rsid w:val="00C4675A"/>
    <w:rsid w:val="00C4678D"/>
    <w:rsid w:val="00C46B50"/>
    <w:rsid w:val="00C4715F"/>
    <w:rsid w:val="00C475D9"/>
    <w:rsid w:val="00C47910"/>
    <w:rsid w:val="00C47AE3"/>
    <w:rsid w:val="00C47C05"/>
    <w:rsid w:val="00C50487"/>
    <w:rsid w:val="00C504BE"/>
    <w:rsid w:val="00C51BBB"/>
    <w:rsid w:val="00C53534"/>
    <w:rsid w:val="00C536BC"/>
    <w:rsid w:val="00C53C04"/>
    <w:rsid w:val="00C53CD5"/>
    <w:rsid w:val="00C5654C"/>
    <w:rsid w:val="00C57187"/>
    <w:rsid w:val="00C57BB5"/>
    <w:rsid w:val="00C610AA"/>
    <w:rsid w:val="00C613C5"/>
    <w:rsid w:val="00C6142D"/>
    <w:rsid w:val="00C61A2B"/>
    <w:rsid w:val="00C624AC"/>
    <w:rsid w:val="00C629EC"/>
    <w:rsid w:val="00C62C9A"/>
    <w:rsid w:val="00C64957"/>
    <w:rsid w:val="00C64AD1"/>
    <w:rsid w:val="00C65A16"/>
    <w:rsid w:val="00C70130"/>
    <w:rsid w:val="00C7091A"/>
    <w:rsid w:val="00C71264"/>
    <w:rsid w:val="00C73B46"/>
    <w:rsid w:val="00C73DF3"/>
    <w:rsid w:val="00C74FD8"/>
    <w:rsid w:val="00C753A3"/>
    <w:rsid w:val="00C75D22"/>
    <w:rsid w:val="00C7667B"/>
    <w:rsid w:val="00C773EB"/>
    <w:rsid w:val="00C77E4F"/>
    <w:rsid w:val="00C8051E"/>
    <w:rsid w:val="00C806C9"/>
    <w:rsid w:val="00C81834"/>
    <w:rsid w:val="00C834C8"/>
    <w:rsid w:val="00C85115"/>
    <w:rsid w:val="00C85B08"/>
    <w:rsid w:val="00C861FC"/>
    <w:rsid w:val="00C8630A"/>
    <w:rsid w:val="00C867D6"/>
    <w:rsid w:val="00C87383"/>
    <w:rsid w:val="00C878BB"/>
    <w:rsid w:val="00C903E7"/>
    <w:rsid w:val="00C9060A"/>
    <w:rsid w:val="00C909CA"/>
    <w:rsid w:val="00C91468"/>
    <w:rsid w:val="00C92298"/>
    <w:rsid w:val="00C92B21"/>
    <w:rsid w:val="00C935B2"/>
    <w:rsid w:val="00C93D1F"/>
    <w:rsid w:val="00C94A70"/>
    <w:rsid w:val="00C957E3"/>
    <w:rsid w:val="00C97A5A"/>
    <w:rsid w:val="00CA0531"/>
    <w:rsid w:val="00CA1251"/>
    <w:rsid w:val="00CA22CB"/>
    <w:rsid w:val="00CA2D2A"/>
    <w:rsid w:val="00CA4DDD"/>
    <w:rsid w:val="00CA5970"/>
    <w:rsid w:val="00CA5CD0"/>
    <w:rsid w:val="00CB1131"/>
    <w:rsid w:val="00CB233A"/>
    <w:rsid w:val="00CB27D2"/>
    <w:rsid w:val="00CB314C"/>
    <w:rsid w:val="00CB321D"/>
    <w:rsid w:val="00CB37DF"/>
    <w:rsid w:val="00CB439A"/>
    <w:rsid w:val="00CB4751"/>
    <w:rsid w:val="00CB48C3"/>
    <w:rsid w:val="00CB4F70"/>
    <w:rsid w:val="00CB652C"/>
    <w:rsid w:val="00CB77D8"/>
    <w:rsid w:val="00CB7BF7"/>
    <w:rsid w:val="00CC125F"/>
    <w:rsid w:val="00CC1F92"/>
    <w:rsid w:val="00CC2109"/>
    <w:rsid w:val="00CC3038"/>
    <w:rsid w:val="00CC4007"/>
    <w:rsid w:val="00CC42FF"/>
    <w:rsid w:val="00CC4710"/>
    <w:rsid w:val="00CC547B"/>
    <w:rsid w:val="00CC56B1"/>
    <w:rsid w:val="00CC64F8"/>
    <w:rsid w:val="00CC7C9B"/>
    <w:rsid w:val="00CD0CDE"/>
    <w:rsid w:val="00CD0D48"/>
    <w:rsid w:val="00CD0D72"/>
    <w:rsid w:val="00CD1193"/>
    <w:rsid w:val="00CD13BE"/>
    <w:rsid w:val="00CD1A7C"/>
    <w:rsid w:val="00CD2664"/>
    <w:rsid w:val="00CD2B41"/>
    <w:rsid w:val="00CD2BB9"/>
    <w:rsid w:val="00CD33EF"/>
    <w:rsid w:val="00CD38BE"/>
    <w:rsid w:val="00CD39E7"/>
    <w:rsid w:val="00CD432A"/>
    <w:rsid w:val="00CD51E6"/>
    <w:rsid w:val="00CD5BBD"/>
    <w:rsid w:val="00CD6E42"/>
    <w:rsid w:val="00CD6E44"/>
    <w:rsid w:val="00CD7310"/>
    <w:rsid w:val="00CD7450"/>
    <w:rsid w:val="00CE042B"/>
    <w:rsid w:val="00CE112A"/>
    <w:rsid w:val="00CE1742"/>
    <w:rsid w:val="00CE1D2B"/>
    <w:rsid w:val="00CE1E63"/>
    <w:rsid w:val="00CE2B93"/>
    <w:rsid w:val="00CE32D4"/>
    <w:rsid w:val="00CE37AA"/>
    <w:rsid w:val="00CE4CB1"/>
    <w:rsid w:val="00CE5ABD"/>
    <w:rsid w:val="00CE6228"/>
    <w:rsid w:val="00CE6388"/>
    <w:rsid w:val="00CE6636"/>
    <w:rsid w:val="00CE689E"/>
    <w:rsid w:val="00CE6D2E"/>
    <w:rsid w:val="00CE722E"/>
    <w:rsid w:val="00CE78E7"/>
    <w:rsid w:val="00CF0250"/>
    <w:rsid w:val="00CF0909"/>
    <w:rsid w:val="00CF0B0E"/>
    <w:rsid w:val="00CF17CC"/>
    <w:rsid w:val="00CF2202"/>
    <w:rsid w:val="00CF3313"/>
    <w:rsid w:val="00CF3928"/>
    <w:rsid w:val="00CF3949"/>
    <w:rsid w:val="00CF4E76"/>
    <w:rsid w:val="00CF5528"/>
    <w:rsid w:val="00CF574D"/>
    <w:rsid w:val="00CF6634"/>
    <w:rsid w:val="00CF6D80"/>
    <w:rsid w:val="00CF74F6"/>
    <w:rsid w:val="00CF7818"/>
    <w:rsid w:val="00CF7B5F"/>
    <w:rsid w:val="00CF7BB6"/>
    <w:rsid w:val="00CF7E5E"/>
    <w:rsid w:val="00D01DBC"/>
    <w:rsid w:val="00D01F38"/>
    <w:rsid w:val="00D02C5D"/>
    <w:rsid w:val="00D033F3"/>
    <w:rsid w:val="00D04BB0"/>
    <w:rsid w:val="00D052B1"/>
    <w:rsid w:val="00D06A86"/>
    <w:rsid w:val="00D0763A"/>
    <w:rsid w:val="00D07B80"/>
    <w:rsid w:val="00D07E03"/>
    <w:rsid w:val="00D105C8"/>
    <w:rsid w:val="00D12C4D"/>
    <w:rsid w:val="00D13B30"/>
    <w:rsid w:val="00D1438A"/>
    <w:rsid w:val="00D16402"/>
    <w:rsid w:val="00D20976"/>
    <w:rsid w:val="00D20F72"/>
    <w:rsid w:val="00D22CE8"/>
    <w:rsid w:val="00D23631"/>
    <w:rsid w:val="00D24026"/>
    <w:rsid w:val="00D24194"/>
    <w:rsid w:val="00D269AE"/>
    <w:rsid w:val="00D30B32"/>
    <w:rsid w:val="00D3155C"/>
    <w:rsid w:val="00D31B7D"/>
    <w:rsid w:val="00D31E50"/>
    <w:rsid w:val="00D35ED6"/>
    <w:rsid w:val="00D36045"/>
    <w:rsid w:val="00D36681"/>
    <w:rsid w:val="00D40675"/>
    <w:rsid w:val="00D40FC8"/>
    <w:rsid w:val="00D45B4B"/>
    <w:rsid w:val="00D46351"/>
    <w:rsid w:val="00D463C7"/>
    <w:rsid w:val="00D46682"/>
    <w:rsid w:val="00D47596"/>
    <w:rsid w:val="00D47D5F"/>
    <w:rsid w:val="00D513FA"/>
    <w:rsid w:val="00D52858"/>
    <w:rsid w:val="00D52886"/>
    <w:rsid w:val="00D52B67"/>
    <w:rsid w:val="00D536AD"/>
    <w:rsid w:val="00D53E2C"/>
    <w:rsid w:val="00D545BE"/>
    <w:rsid w:val="00D556E4"/>
    <w:rsid w:val="00D56D28"/>
    <w:rsid w:val="00D5741C"/>
    <w:rsid w:val="00D60D7D"/>
    <w:rsid w:val="00D60E7C"/>
    <w:rsid w:val="00D60F0E"/>
    <w:rsid w:val="00D62353"/>
    <w:rsid w:val="00D6363E"/>
    <w:rsid w:val="00D63A43"/>
    <w:rsid w:val="00D64A4A"/>
    <w:rsid w:val="00D652A6"/>
    <w:rsid w:val="00D65E2B"/>
    <w:rsid w:val="00D66530"/>
    <w:rsid w:val="00D668AD"/>
    <w:rsid w:val="00D66A09"/>
    <w:rsid w:val="00D66A95"/>
    <w:rsid w:val="00D66E1F"/>
    <w:rsid w:val="00D67FA4"/>
    <w:rsid w:val="00D708FE"/>
    <w:rsid w:val="00D711F2"/>
    <w:rsid w:val="00D71AE2"/>
    <w:rsid w:val="00D73368"/>
    <w:rsid w:val="00D735AB"/>
    <w:rsid w:val="00D73772"/>
    <w:rsid w:val="00D73A06"/>
    <w:rsid w:val="00D759A3"/>
    <w:rsid w:val="00D764D3"/>
    <w:rsid w:val="00D767D5"/>
    <w:rsid w:val="00D802B4"/>
    <w:rsid w:val="00D803F4"/>
    <w:rsid w:val="00D8041F"/>
    <w:rsid w:val="00D805C7"/>
    <w:rsid w:val="00D80AE3"/>
    <w:rsid w:val="00D82875"/>
    <w:rsid w:val="00D8296E"/>
    <w:rsid w:val="00D83FD3"/>
    <w:rsid w:val="00D84A74"/>
    <w:rsid w:val="00D850CC"/>
    <w:rsid w:val="00D85666"/>
    <w:rsid w:val="00D86ADC"/>
    <w:rsid w:val="00D87938"/>
    <w:rsid w:val="00D87995"/>
    <w:rsid w:val="00D9026D"/>
    <w:rsid w:val="00D91FB3"/>
    <w:rsid w:val="00D920BD"/>
    <w:rsid w:val="00D93037"/>
    <w:rsid w:val="00D94CD4"/>
    <w:rsid w:val="00D94E73"/>
    <w:rsid w:val="00D9688B"/>
    <w:rsid w:val="00D96BE1"/>
    <w:rsid w:val="00D9768E"/>
    <w:rsid w:val="00D9786E"/>
    <w:rsid w:val="00DA0FED"/>
    <w:rsid w:val="00DA1AE5"/>
    <w:rsid w:val="00DA1D6A"/>
    <w:rsid w:val="00DA2526"/>
    <w:rsid w:val="00DA2EC3"/>
    <w:rsid w:val="00DA3063"/>
    <w:rsid w:val="00DA3CB1"/>
    <w:rsid w:val="00DA4026"/>
    <w:rsid w:val="00DA5458"/>
    <w:rsid w:val="00DA5743"/>
    <w:rsid w:val="00DA57B6"/>
    <w:rsid w:val="00DA5DFD"/>
    <w:rsid w:val="00DA5F10"/>
    <w:rsid w:val="00DA68FB"/>
    <w:rsid w:val="00DA7323"/>
    <w:rsid w:val="00DA78AD"/>
    <w:rsid w:val="00DB0961"/>
    <w:rsid w:val="00DB0F4A"/>
    <w:rsid w:val="00DB22C6"/>
    <w:rsid w:val="00DB385B"/>
    <w:rsid w:val="00DB4238"/>
    <w:rsid w:val="00DB6ADA"/>
    <w:rsid w:val="00DB6C7D"/>
    <w:rsid w:val="00DC1096"/>
    <w:rsid w:val="00DC10EB"/>
    <w:rsid w:val="00DC16DF"/>
    <w:rsid w:val="00DC311B"/>
    <w:rsid w:val="00DC3CB6"/>
    <w:rsid w:val="00DC4768"/>
    <w:rsid w:val="00DC68C8"/>
    <w:rsid w:val="00DC68DA"/>
    <w:rsid w:val="00DC7ACC"/>
    <w:rsid w:val="00DD1E71"/>
    <w:rsid w:val="00DD22C5"/>
    <w:rsid w:val="00DD3CD4"/>
    <w:rsid w:val="00DD3E68"/>
    <w:rsid w:val="00DD4C92"/>
    <w:rsid w:val="00DD5117"/>
    <w:rsid w:val="00DD6F4B"/>
    <w:rsid w:val="00DD75B1"/>
    <w:rsid w:val="00DE0267"/>
    <w:rsid w:val="00DE0D91"/>
    <w:rsid w:val="00DE17C0"/>
    <w:rsid w:val="00DE291F"/>
    <w:rsid w:val="00DE2D7E"/>
    <w:rsid w:val="00DE3AF7"/>
    <w:rsid w:val="00DE3DAB"/>
    <w:rsid w:val="00DE4E9E"/>
    <w:rsid w:val="00DE66CB"/>
    <w:rsid w:val="00DE6987"/>
    <w:rsid w:val="00DE709D"/>
    <w:rsid w:val="00DE70A8"/>
    <w:rsid w:val="00DE7103"/>
    <w:rsid w:val="00DE74C6"/>
    <w:rsid w:val="00DE7B3A"/>
    <w:rsid w:val="00DF09F6"/>
    <w:rsid w:val="00DF2798"/>
    <w:rsid w:val="00DF3202"/>
    <w:rsid w:val="00DF3555"/>
    <w:rsid w:val="00DF3BAA"/>
    <w:rsid w:val="00DF6024"/>
    <w:rsid w:val="00DF60D6"/>
    <w:rsid w:val="00DF6361"/>
    <w:rsid w:val="00DF6930"/>
    <w:rsid w:val="00DF6E3B"/>
    <w:rsid w:val="00E0022B"/>
    <w:rsid w:val="00E00539"/>
    <w:rsid w:val="00E00F7D"/>
    <w:rsid w:val="00E01FB6"/>
    <w:rsid w:val="00E02480"/>
    <w:rsid w:val="00E02ECE"/>
    <w:rsid w:val="00E038B2"/>
    <w:rsid w:val="00E04111"/>
    <w:rsid w:val="00E0572D"/>
    <w:rsid w:val="00E06335"/>
    <w:rsid w:val="00E06851"/>
    <w:rsid w:val="00E06C56"/>
    <w:rsid w:val="00E071C1"/>
    <w:rsid w:val="00E07836"/>
    <w:rsid w:val="00E078B6"/>
    <w:rsid w:val="00E10055"/>
    <w:rsid w:val="00E11B6C"/>
    <w:rsid w:val="00E1220A"/>
    <w:rsid w:val="00E1376E"/>
    <w:rsid w:val="00E14E7D"/>
    <w:rsid w:val="00E1501D"/>
    <w:rsid w:val="00E15AE2"/>
    <w:rsid w:val="00E16EA5"/>
    <w:rsid w:val="00E16F09"/>
    <w:rsid w:val="00E17ABC"/>
    <w:rsid w:val="00E216B8"/>
    <w:rsid w:val="00E21CAD"/>
    <w:rsid w:val="00E223EE"/>
    <w:rsid w:val="00E2336E"/>
    <w:rsid w:val="00E235E4"/>
    <w:rsid w:val="00E244EF"/>
    <w:rsid w:val="00E246AD"/>
    <w:rsid w:val="00E24FA0"/>
    <w:rsid w:val="00E2529A"/>
    <w:rsid w:val="00E260A4"/>
    <w:rsid w:val="00E271C9"/>
    <w:rsid w:val="00E300E4"/>
    <w:rsid w:val="00E30467"/>
    <w:rsid w:val="00E307FD"/>
    <w:rsid w:val="00E308B6"/>
    <w:rsid w:val="00E310B0"/>
    <w:rsid w:val="00E3174C"/>
    <w:rsid w:val="00E320F3"/>
    <w:rsid w:val="00E3224F"/>
    <w:rsid w:val="00E32CD3"/>
    <w:rsid w:val="00E32FD1"/>
    <w:rsid w:val="00E33904"/>
    <w:rsid w:val="00E350FA"/>
    <w:rsid w:val="00E351A8"/>
    <w:rsid w:val="00E35201"/>
    <w:rsid w:val="00E35938"/>
    <w:rsid w:val="00E35F94"/>
    <w:rsid w:val="00E36F30"/>
    <w:rsid w:val="00E36F6B"/>
    <w:rsid w:val="00E4179A"/>
    <w:rsid w:val="00E42366"/>
    <w:rsid w:val="00E4302F"/>
    <w:rsid w:val="00E43088"/>
    <w:rsid w:val="00E43970"/>
    <w:rsid w:val="00E43BB2"/>
    <w:rsid w:val="00E44237"/>
    <w:rsid w:val="00E44809"/>
    <w:rsid w:val="00E468CE"/>
    <w:rsid w:val="00E47010"/>
    <w:rsid w:val="00E47592"/>
    <w:rsid w:val="00E479A0"/>
    <w:rsid w:val="00E47F67"/>
    <w:rsid w:val="00E519F1"/>
    <w:rsid w:val="00E51E51"/>
    <w:rsid w:val="00E52132"/>
    <w:rsid w:val="00E529C4"/>
    <w:rsid w:val="00E53DDC"/>
    <w:rsid w:val="00E53EE8"/>
    <w:rsid w:val="00E5401B"/>
    <w:rsid w:val="00E54AF5"/>
    <w:rsid w:val="00E54C9B"/>
    <w:rsid w:val="00E55881"/>
    <w:rsid w:val="00E5665D"/>
    <w:rsid w:val="00E57A9E"/>
    <w:rsid w:val="00E604D9"/>
    <w:rsid w:val="00E60515"/>
    <w:rsid w:val="00E60710"/>
    <w:rsid w:val="00E61A83"/>
    <w:rsid w:val="00E61E63"/>
    <w:rsid w:val="00E62DF7"/>
    <w:rsid w:val="00E63DAA"/>
    <w:rsid w:val="00E6404B"/>
    <w:rsid w:val="00E64EAB"/>
    <w:rsid w:val="00E64F10"/>
    <w:rsid w:val="00E651B7"/>
    <w:rsid w:val="00E66437"/>
    <w:rsid w:val="00E66673"/>
    <w:rsid w:val="00E675F3"/>
    <w:rsid w:val="00E6774B"/>
    <w:rsid w:val="00E67944"/>
    <w:rsid w:val="00E67A37"/>
    <w:rsid w:val="00E67AE3"/>
    <w:rsid w:val="00E67FD1"/>
    <w:rsid w:val="00E700CE"/>
    <w:rsid w:val="00E701B7"/>
    <w:rsid w:val="00E70D07"/>
    <w:rsid w:val="00E716B0"/>
    <w:rsid w:val="00E716FE"/>
    <w:rsid w:val="00E72EA5"/>
    <w:rsid w:val="00E7315D"/>
    <w:rsid w:val="00E74B9A"/>
    <w:rsid w:val="00E759A8"/>
    <w:rsid w:val="00E764A3"/>
    <w:rsid w:val="00E76565"/>
    <w:rsid w:val="00E76E06"/>
    <w:rsid w:val="00E77A9B"/>
    <w:rsid w:val="00E77F0A"/>
    <w:rsid w:val="00E8011E"/>
    <w:rsid w:val="00E80289"/>
    <w:rsid w:val="00E80586"/>
    <w:rsid w:val="00E80A99"/>
    <w:rsid w:val="00E817E1"/>
    <w:rsid w:val="00E81AC8"/>
    <w:rsid w:val="00E83560"/>
    <w:rsid w:val="00E8377C"/>
    <w:rsid w:val="00E84542"/>
    <w:rsid w:val="00E84C5E"/>
    <w:rsid w:val="00E84C7C"/>
    <w:rsid w:val="00E859BA"/>
    <w:rsid w:val="00E85E81"/>
    <w:rsid w:val="00E86EAE"/>
    <w:rsid w:val="00E871B0"/>
    <w:rsid w:val="00E90450"/>
    <w:rsid w:val="00E90CDC"/>
    <w:rsid w:val="00E91ADF"/>
    <w:rsid w:val="00E91B13"/>
    <w:rsid w:val="00E91E09"/>
    <w:rsid w:val="00E93A40"/>
    <w:rsid w:val="00E945FD"/>
    <w:rsid w:val="00E94BC2"/>
    <w:rsid w:val="00E950F2"/>
    <w:rsid w:val="00E95160"/>
    <w:rsid w:val="00E95D39"/>
    <w:rsid w:val="00EA097B"/>
    <w:rsid w:val="00EA0D73"/>
    <w:rsid w:val="00EA31A4"/>
    <w:rsid w:val="00EA3768"/>
    <w:rsid w:val="00EA39D1"/>
    <w:rsid w:val="00EA473D"/>
    <w:rsid w:val="00EA4889"/>
    <w:rsid w:val="00EA4F49"/>
    <w:rsid w:val="00EA525F"/>
    <w:rsid w:val="00EA58D4"/>
    <w:rsid w:val="00EA73A4"/>
    <w:rsid w:val="00EB07F8"/>
    <w:rsid w:val="00EB150D"/>
    <w:rsid w:val="00EB1848"/>
    <w:rsid w:val="00EB2353"/>
    <w:rsid w:val="00EB3FAE"/>
    <w:rsid w:val="00EB4B19"/>
    <w:rsid w:val="00EB4B6D"/>
    <w:rsid w:val="00EB5826"/>
    <w:rsid w:val="00EB7F23"/>
    <w:rsid w:val="00EC1DED"/>
    <w:rsid w:val="00EC31B4"/>
    <w:rsid w:val="00EC3410"/>
    <w:rsid w:val="00EC38C4"/>
    <w:rsid w:val="00EC5133"/>
    <w:rsid w:val="00EC5AFD"/>
    <w:rsid w:val="00EC6100"/>
    <w:rsid w:val="00EC626C"/>
    <w:rsid w:val="00EC66C9"/>
    <w:rsid w:val="00EC7E3B"/>
    <w:rsid w:val="00EC7FCF"/>
    <w:rsid w:val="00ED0018"/>
    <w:rsid w:val="00ED0074"/>
    <w:rsid w:val="00ED0BCF"/>
    <w:rsid w:val="00ED109C"/>
    <w:rsid w:val="00ED20AF"/>
    <w:rsid w:val="00ED20C6"/>
    <w:rsid w:val="00ED2395"/>
    <w:rsid w:val="00ED2A9B"/>
    <w:rsid w:val="00ED375D"/>
    <w:rsid w:val="00ED382A"/>
    <w:rsid w:val="00ED41A2"/>
    <w:rsid w:val="00ED4E53"/>
    <w:rsid w:val="00ED5FDD"/>
    <w:rsid w:val="00ED6079"/>
    <w:rsid w:val="00ED614B"/>
    <w:rsid w:val="00ED65EF"/>
    <w:rsid w:val="00ED675E"/>
    <w:rsid w:val="00ED6833"/>
    <w:rsid w:val="00ED709D"/>
    <w:rsid w:val="00ED79E4"/>
    <w:rsid w:val="00ED7B04"/>
    <w:rsid w:val="00EE0063"/>
    <w:rsid w:val="00EE154B"/>
    <w:rsid w:val="00EE2590"/>
    <w:rsid w:val="00EE263B"/>
    <w:rsid w:val="00EE2B1A"/>
    <w:rsid w:val="00EE36F1"/>
    <w:rsid w:val="00EE3EF9"/>
    <w:rsid w:val="00EE3F20"/>
    <w:rsid w:val="00EE4C41"/>
    <w:rsid w:val="00EE6A51"/>
    <w:rsid w:val="00EE722A"/>
    <w:rsid w:val="00EE7BC7"/>
    <w:rsid w:val="00EF0586"/>
    <w:rsid w:val="00EF2AEF"/>
    <w:rsid w:val="00EF3C19"/>
    <w:rsid w:val="00EF408B"/>
    <w:rsid w:val="00EF464D"/>
    <w:rsid w:val="00EF4EC1"/>
    <w:rsid w:val="00EF6F0F"/>
    <w:rsid w:val="00EF7643"/>
    <w:rsid w:val="00EF76F3"/>
    <w:rsid w:val="00EF7CC9"/>
    <w:rsid w:val="00F023BD"/>
    <w:rsid w:val="00F031C1"/>
    <w:rsid w:val="00F03340"/>
    <w:rsid w:val="00F04314"/>
    <w:rsid w:val="00F04543"/>
    <w:rsid w:val="00F05105"/>
    <w:rsid w:val="00F05FF0"/>
    <w:rsid w:val="00F06814"/>
    <w:rsid w:val="00F114C2"/>
    <w:rsid w:val="00F117B9"/>
    <w:rsid w:val="00F11EFE"/>
    <w:rsid w:val="00F11F90"/>
    <w:rsid w:val="00F13637"/>
    <w:rsid w:val="00F14888"/>
    <w:rsid w:val="00F161BA"/>
    <w:rsid w:val="00F173A3"/>
    <w:rsid w:val="00F20332"/>
    <w:rsid w:val="00F2045A"/>
    <w:rsid w:val="00F20E9A"/>
    <w:rsid w:val="00F20F60"/>
    <w:rsid w:val="00F20FA6"/>
    <w:rsid w:val="00F236BF"/>
    <w:rsid w:val="00F23F3F"/>
    <w:rsid w:val="00F2506B"/>
    <w:rsid w:val="00F274AB"/>
    <w:rsid w:val="00F27B10"/>
    <w:rsid w:val="00F314B1"/>
    <w:rsid w:val="00F32A41"/>
    <w:rsid w:val="00F32E54"/>
    <w:rsid w:val="00F356EA"/>
    <w:rsid w:val="00F3594D"/>
    <w:rsid w:val="00F36293"/>
    <w:rsid w:val="00F369DD"/>
    <w:rsid w:val="00F37485"/>
    <w:rsid w:val="00F37A8A"/>
    <w:rsid w:val="00F37ADB"/>
    <w:rsid w:val="00F37BF8"/>
    <w:rsid w:val="00F4010B"/>
    <w:rsid w:val="00F40A6A"/>
    <w:rsid w:val="00F41175"/>
    <w:rsid w:val="00F41DA9"/>
    <w:rsid w:val="00F46137"/>
    <w:rsid w:val="00F465AA"/>
    <w:rsid w:val="00F472D1"/>
    <w:rsid w:val="00F47E94"/>
    <w:rsid w:val="00F508E8"/>
    <w:rsid w:val="00F51233"/>
    <w:rsid w:val="00F513B0"/>
    <w:rsid w:val="00F5157D"/>
    <w:rsid w:val="00F51BD6"/>
    <w:rsid w:val="00F52018"/>
    <w:rsid w:val="00F522FE"/>
    <w:rsid w:val="00F52316"/>
    <w:rsid w:val="00F52CC3"/>
    <w:rsid w:val="00F56697"/>
    <w:rsid w:val="00F5681B"/>
    <w:rsid w:val="00F57F4A"/>
    <w:rsid w:val="00F60A9C"/>
    <w:rsid w:val="00F61D28"/>
    <w:rsid w:val="00F6236E"/>
    <w:rsid w:val="00F633A3"/>
    <w:rsid w:val="00F639BA"/>
    <w:rsid w:val="00F65B8E"/>
    <w:rsid w:val="00F65CFC"/>
    <w:rsid w:val="00F65DF9"/>
    <w:rsid w:val="00F66A34"/>
    <w:rsid w:val="00F66BF0"/>
    <w:rsid w:val="00F672D7"/>
    <w:rsid w:val="00F67B83"/>
    <w:rsid w:val="00F72AC1"/>
    <w:rsid w:val="00F74631"/>
    <w:rsid w:val="00F746B4"/>
    <w:rsid w:val="00F74752"/>
    <w:rsid w:val="00F7482C"/>
    <w:rsid w:val="00F75233"/>
    <w:rsid w:val="00F7538F"/>
    <w:rsid w:val="00F754D0"/>
    <w:rsid w:val="00F75662"/>
    <w:rsid w:val="00F7618F"/>
    <w:rsid w:val="00F77263"/>
    <w:rsid w:val="00F77733"/>
    <w:rsid w:val="00F803CC"/>
    <w:rsid w:val="00F80B88"/>
    <w:rsid w:val="00F8148D"/>
    <w:rsid w:val="00F828D7"/>
    <w:rsid w:val="00F82EE2"/>
    <w:rsid w:val="00F83236"/>
    <w:rsid w:val="00F83D8B"/>
    <w:rsid w:val="00F847D8"/>
    <w:rsid w:val="00F851CF"/>
    <w:rsid w:val="00F86D20"/>
    <w:rsid w:val="00F86F08"/>
    <w:rsid w:val="00F87EE8"/>
    <w:rsid w:val="00F903F1"/>
    <w:rsid w:val="00F905C9"/>
    <w:rsid w:val="00F90C75"/>
    <w:rsid w:val="00F90F13"/>
    <w:rsid w:val="00F91793"/>
    <w:rsid w:val="00F919D2"/>
    <w:rsid w:val="00F91FD8"/>
    <w:rsid w:val="00F92E01"/>
    <w:rsid w:val="00F938C7"/>
    <w:rsid w:val="00F93A78"/>
    <w:rsid w:val="00F946D1"/>
    <w:rsid w:val="00F9585F"/>
    <w:rsid w:val="00F9630F"/>
    <w:rsid w:val="00F9642A"/>
    <w:rsid w:val="00F966F6"/>
    <w:rsid w:val="00F97A3D"/>
    <w:rsid w:val="00F97EEA"/>
    <w:rsid w:val="00FA0785"/>
    <w:rsid w:val="00FA0ADE"/>
    <w:rsid w:val="00FA0D7B"/>
    <w:rsid w:val="00FA24F5"/>
    <w:rsid w:val="00FA3DFB"/>
    <w:rsid w:val="00FA4424"/>
    <w:rsid w:val="00FA4734"/>
    <w:rsid w:val="00FA4864"/>
    <w:rsid w:val="00FA589C"/>
    <w:rsid w:val="00FA5E06"/>
    <w:rsid w:val="00FA6082"/>
    <w:rsid w:val="00FA6587"/>
    <w:rsid w:val="00FA6944"/>
    <w:rsid w:val="00FA6D94"/>
    <w:rsid w:val="00FB008D"/>
    <w:rsid w:val="00FB113E"/>
    <w:rsid w:val="00FB2BF2"/>
    <w:rsid w:val="00FB32B1"/>
    <w:rsid w:val="00FB37CA"/>
    <w:rsid w:val="00FB422C"/>
    <w:rsid w:val="00FB4D3D"/>
    <w:rsid w:val="00FB4EFC"/>
    <w:rsid w:val="00FB589A"/>
    <w:rsid w:val="00FB5DC0"/>
    <w:rsid w:val="00FB6663"/>
    <w:rsid w:val="00FB6A1C"/>
    <w:rsid w:val="00FB6BF6"/>
    <w:rsid w:val="00FB6D0E"/>
    <w:rsid w:val="00FC2515"/>
    <w:rsid w:val="00FC3635"/>
    <w:rsid w:val="00FC450C"/>
    <w:rsid w:val="00FC589C"/>
    <w:rsid w:val="00FC5F18"/>
    <w:rsid w:val="00FC6115"/>
    <w:rsid w:val="00FC634B"/>
    <w:rsid w:val="00FC65A5"/>
    <w:rsid w:val="00FC65AA"/>
    <w:rsid w:val="00FC70BA"/>
    <w:rsid w:val="00FC7B82"/>
    <w:rsid w:val="00FD0D7F"/>
    <w:rsid w:val="00FD0E5A"/>
    <w:rsid w:val="00FD109B"/>
    <w:rsid w:val="00FD1E23"/>
    <w:rsid w:val="00FD26F9"/>
    <w:rsid w:val="00FD49F7"/>
    <w:rsid w:val="00FD5317"/>
    <w:rsid w:val="00FD562B"/>
    <w:rsid w:val="00FD6E88"/>
    <w:rsid w:val="00FD7A4D"/>
    <w:rsid w:val="00FD7D9F"/>
    <w:rsid w:val="00FE064A"/>
    <w:rsid w:val="00FE0727"/>
    <w:rsid w:val="00FE2AAE"/>
    <w:rsid w:val="00FE324A"/>
    <w:rsid w:val="00FE3860"/>
    <w:rsid w:val="00FE418E"/>
    <w:rsid w:val="00FE45AC"/>
    <w:rsid w:val="00FE54C7"/>
    <w:rsid w:val="00FE5647"/>
    <w:rsid w:val="00FE7297"/>
    <w:rsid w:val="00FE7C80"/>
    <w:rsid w:val="00FF0941"/>
    <w:rsid w:val="00FF1664"/>
    <w:rsid w:val="00FF2186"/>
    <w:rsid w:val="00FF2AD2"/>
    <w:rsid w:val="00FF2EFE"/>
    <w:rsid w:val="00FF3840"/>
    <w:rsid w:val="00FF448E"/>
    <w:rsid w:val="00FF564A"/>
    <w:rsid w:val="00FF5C3E"/>
    <w:rsid w:val="00FF5ED4"/>
    <w:rsid w:val="00FF6722"/>
    <w:rsid w:val="00FF6844"/>
    <w:rsid w:val="00FF6966"/>
    <w:rsid w:val="00FF6BEB"/>
    <w:rsid w:val="00FF7B8F"/>
    <w:rsid w:val="00FF7ED6"/>
    <w:rsid w:val="3E0B48A3"/>
    <w:rsid w:val="48B90A39"/>
    <w:rsid w:val="4BB053D8"/>
    <w:rsid w:val="5F490C04"/>
    <w:rsid w:val="77456B2E"/>
    <w:rsid w:val="7A3C26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4"/>
      <w:szCs w:val="24"/>
      <w:lang w:val="en-GB" w:eastAsia="zh-CN" w:bidi="ar-SA"/>
    </w:rPr>
  </w:style>
  <w:style w:type="paragraph" w:styleId="2">
    <w:name w:val="heading 1"/>
    <w:basedOn w:val="1"/>
    <w:next w:val="1"/>
    <w:autoRedefine/>
    <w:qFormat/>
    <w:uiPriority w:val="0"/>
    <w:pPr>
      <w:keepNext/>
      <w:keepLines/>
      <w:widowControl w:val="0"/>
      <w:numPr>
        <w:ilvl w:val="0"/>
        <w:numId w:val="1"/>
      </w:numPr>
      <w:spacing w:line="360" w:lineRule="auto"/>
      <w:jc w:val="both"/>
      <w:outlineLvl w:val="0"/>
    </w:pPr>
    <w:rPr>
      <w:b/>
      <w:bCs/>
      <w:kern w:val="44"/>
      <w:szCs w:val="44"/>
      <w:lang w:val="en-US"/>
    </w:rPr>
  </w:style>
  <w:style w:type="paragraph" w:styleId="3">
    <w:name w:val="heading 2"/>
    <w:basedOn w:val="1"/>
    <w:next w:val="1"/>
    <w:autoRedefine/>
    <w:qFormat/>
    <w:uiPriority w:val="0"/>
    <w:pPr>
      <w:numPr>
        <w:ilvl w:val="1"/>
        <w:numId w:val="1"/>
      </w:numPr>
      <w:adjustRightInd w:val="0"/>
      <w:snapToGrid w:val="0"/>
      <w:spacing w:line="360" w:lineRule="auto"/>
      <w:jc w:val="both"/>
      <w:outlineLvl w:val="1"/>
    </w:pPr>
    <w:rPr>
      <w:bCs/>
      <w:lang w:val="en-US"/>
    </w:rPr>
  </w:style>
  <w:style w:type="paragraph" w:styleId="4">
    <w:name w:val="heading 3"/>
    <w:basedOn w:val="1"/>
    <w:next w:val="1"/>
    <w:autoRedefine/>
    <w:qFormat/>
    <w:uiPriority w:val="0"/>
    <w:pPr>
      <w:numPr>
        <w:ilvl w:val="2"/>
        <w:numId w:val="1"/>
      </w:numPr>
      <w:adjustRightInd w:val="0"/>
      <w:snapToGrid w:val="0"/>
      <w:spacing w:line="360" w:lineRule="auto"/>
      <w:jc w:val="both"/>
      <w:outlineLvl w:val="2"/>
    </w:pPr>
    <w:rPr>
      <w:bCs/>
      <w:szCs w:val="32"/>
      <w:lang w:val="en-US"/>
    </w:rPr>
  </w:style>
  <w:style w:type="paragraph" w:styleId="5">
    <w:name w:val="heading 4"/>
    <w:basedOn w:val="1"/>
    <w:next w:val="6"/>
    <w:link w:val="45"/>
    <w:autoRedefine/>
    <w:qFormat/>
    <w:uiPriority w:val="0"/>
    <w:pPr>
      <w:keepNext/>
      <w:keepLines/>
      <w:widowControl w:val="0"/>
      <w:spacing w:before="120" w:after="120"/>
      <w:jc w:val="both"/>
      <w:outlineLvl w:val="3"/>
    </w:pPr>
    <w:rPr>
      <w:rFonts w:ascii="Arial" w:hAnsi="Arial"/>
      <w:sz w:val="30"/>
      <w:szCs w:val="20"/>
    </w:rPr>
  </w:style>
  <w:style w:type="paragraph" w:styleId="7">
    <w:name w:val="heading 5"/>
    <w:basedOn w:val="1"/>
    <w:next w:val="1"/>
    <w:link w:val="46"/>
    <w:autoRedefine/>
    <w:qFormat/>
    <w:uiPriority w:val="0"/>
    <w:pPr>
      <w:keepNext/>
      <w:keepLines/>
      <w:widowControl w:val="0"/>
      <w:spacing w:before="280" w:after="290" w:line="376" w:lineRule="auto"/>
      <w:jc w:val="both"/>
      <w:outlineLvl w:val="4"/>
    </w:pPr>
    <w:rPr>
      <w:b/>
      <w:bCs/>
      <w:sz w:val="28"/>
      <w:szCs w:val="28"/>
    </w:rPr>
  </w:style>
  <w:style w:type="paragraph" w:styleId="8">
    <w:name w:val="heading 6"/>
    <w:basedOn w:val="1"/>
    <w:next w:val="1"/>
    <w:link w:val="47"/>
    <w:autoRedefine/>
    <w:qFormat/>
    <w:uiPriority w:val="0"/>
    <w:pPr>
      <w:keepNext/>
      <w:keepLines/>
      <w:widowControl w:val="0"/>
      <w:spacing w:before="240" w:after="64" w:line="320" w:lineRule="auto"/>
      <w:jc w:val="both"/>
      <w:outlineLvl w:val="5"/>
    </w:pPr>
    <w:rPr>
      <w:rFonts w:ascii="Arial" w:hAnsi="Arial" w:eastAsia="黑体"/>
      <w:b/>
      <w:bCs/>
    </w:rPr>
  </w:style>
  <w:style w:type="paragraph" w:styleId="9">
    <w:name w:val="heading 7"/>
    <w:basedOn w:val="1"/>
    <w:next w:val="1"/>
    <w:link w:val="48"/>
    <w:autoRedefine/>
    <w:qFormat/>
    <w:uiPriority w:val="0"/>
    <w:pPr>
      <w:keepNext/>
      <w:keepLines/>
      <w:widowControl w:val="0"/>
      <w:spacing w:before="240" w:after="64" w:line="320" w:lineRule="auto"/>
      <w:jc w:val="both"/>
      <w:outlineLvl w:val="6"/>
    </w:pPr>
    <w:rPr>
      <w:b/>
      <w:bCs/>
    </w:rPr>
  </w:style>
  <w:style w:type="paragraph" w:styleId="10">
    <w:name w:val="heading 8"/>
    <w:basedOn w:val="1"/>
    <w:next w:val="1"/>
    <w:link w:val="49"/>
    <w:autoRedefine/>
    <w:qFormat/>
    <w:uiPriority w:val="0"/>
    <w:pPr>
      <w:keepNext/>
      <w:keepLines/>
      <w:widowControl w:val="0"/>
      <w:spacing w:before="240" w:after="64" w:line="320" w:lineRule="auto"/>
      <w:jc w:val="both"/>
      <w:outlineLvl w:val="7"/>
    </w:pPr>
    <w:rPr>
      <w:rFonts w:ascii="Arial" w:hAnsi="Arial" w:eastAsia="黑体"/>
    </w:rPr>
  </w:style>
  <w:style w:type="paragraph" w:styleId="11">
    <w:name w:val="heading 9"/>
    <w:basedOn w:val="1"/>
    <w:next w:val="1"/>
    <w:link w:val="50"/>
    <w:autoRedefine/>
    <w:qFormat/>
    <w:uiPriority w:val="0"/>
    <w:pPr>
      <w:keepNext/>
      <w:keepLines/>
      <w:widowControl w:val="0"/>
      <w:spacing w:before="240" w:after="64" w:line="320" w:lineRule="auto"/>
      <w:jc w:val="both"/>
      <w:outlineLvl w:val="8"/>
    </w:pPr>
    <w:rPr>
      <w:rFonts w:ascii="Arial" w:hAnsi="Arial" w:eastAsia="黑体"/>
      <w:sz w:val="21"/>
      <w:szCs w:val="21"/>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val="0"/>
      <w:adjustRightInd w:val="0"/>
      <w:spacing w:line="360" w:lineRule="atLeast"/>
      <w:ind w:firstLine="420"/>
      <w:textAlignment w:val="baseline"/>
    </w:pPr>
    <w:rPr>
      <w:rFonts w:ascii="宋体"/>
      <w:kern w:val="0"/>
      <w:szCs w:val="20"/>
      <w:lang w:val="en-US"/>
    </w:rPr>
  </w:style>
  <w:style w:type="paragraph" w:styleId="12">
    <w:name w:val="toc 7"/>
    <w:basedOn w:val="1"/>
    <w:next w:val="1"/>
    <w:autoRedefine/>
    <w:qFormat/>
    <w:uiPriority w:val="0"/>
    <w:pPr>
      <w:widowControl w:val="0"/>
      <w:ind w:left="2520" w:leftChars="1200"/>
      <w:jc w:val="both"/>
    </w:pPr>
    <w:rPr>
      <w:sz w:val="21"/>
      <w:lang w:val="en-US"/>
    </w:rPr>
  </w:style>
  <w:style w:type="paragraph" w:styleId="13">
    <w:name w:val="annotation text"/>
    <w:basedOn w:val="1"/>
    <w:autoRedefine/>
    <w:semiHidden/>
    <w:qFormat/>
    <w:uiPriority w:val="0"/>
  </w:style>
  <w:style w:type="paragraph" w:styleId="14">
    <w:name w:val="toc 5"/>
    <w:basedOn w:val="1"/>
    <w:next w:val="1"/>
    <w:autoRedefine/>
    <w:qFormat/>
    <w:uiPriority w:val="0"/>
    <w:pPr>
      <w:widowControl w:val="0"/>
      <w:ind w:left="1680" w:leftChars="800"/>
      <w:jc w:val="both"/>
    </w:pPr>
    <w:rPr>
      <w:sz w:val="21"/>
      <w:lang w:val="en-US"/>
    </w:rPr>
  </w:style>
  <w:style w:type="paragraph" w:styleId="15">
    <w:name w:val="toc 3"/>
    <w:basedOn w:val="1"/>
    <w:next w:val="1"/>
    <w:autoRedefine/>
    <w:qFormat/>
    <w:uiPriority w:val="0"/>
    <w:pPr>
      <w:widowControl w:val="0"/>
      <w:ind w:left="840" w:leftChars="400"/>
      <w:jc w:val="both"/>
    </w:pPr>
    <w:rPr>
      <w:sz w:val="21"/>
      <w:lang w:val="en-US"/>
    </w:rPr>
  </w:style>
  <w:style w:type="paragraph" w:styleId="16">
    <w:name w:val="Plain Text"/>
    <w:basedOn w:val="1"/>
    <w:autoRedefine/>
    <w:qFormat/>
    <w:uiPriority w:val="0"/>
    <w:pPr>
      <w:widowControl w:val="0"/>
      <w:jc w:val="both"/>
    </w:pPr>
    <w:rPr>
      <w:rFonts w:ascii="宋体" w:hAnsi="Courier New" w:cs="Courier New"/>
      <w:sz w:val="21"/>
      <w:szCs w:val="21"/>
      <w:lang w:val="en-US"/>
    </w:rPr>
  </w:style>
  <w:style w:type="paragraph" w:styleId="17">
    <w:name w:val="toc 8"/>
    <w:basedOn w:val="1"/>
    <w:next w:val="1"/>
    <w:autoRedefine/>
    <w:qFormat/>
    <w:uiPriority w:val="0"/>
    <w:pPr>
      <w:widowControl w:val="0"/>
      <w:ind w:left="2940" w:leftChars="1400"/>
      <w:jc w:val="both"/>
    </w:pPr>
    <w:rPr>
      <w:sz w:val="21"/>
      <w:lang w:val="en-US"/>
    </w:rPr>
  </w:style>
  <w:style w:type="paragraph" w:styleId="18">
    <w:name w:val="Balloon Text"/>
    <w:basedOn w:val="1"/>
    <w:autoRedefine/>
    <w:semiHidden/>
    <w:qFormat/>
    <w:uiPriority w:val="0"/>
    <w:rPr>
      <w:rFonts w:ascii="Tahoma" w:hAnsi="Tahoma" w:cs="Tahoma"/>
      <w:sz w:val="16"/>
      <w:szCs w:val="16"/>
    </w:rPr>
  </w:style>
  <w:style w:type="paragraph" w:styleId="19">
    <w:name w:val="footer"/>
    <w:basedOn w:val="1"/>
    <w:link w:val="57"/>
    <w:autoRedefine/>
    <w:qFormat/>
    <w:uiPriority w:val="99"/>
    <w:pPr>
      <w:tabs>
        <w:tab w:val="center" w:pos="4153"/>
        <w:tab w:val="right" w:pos="8306"/>
      </w:tabs>
      <w:snapToGrid w:val="0"/>
    </w:pPr>
    <w:rPr>
      <w:sz w:val="18"/>
      <w:szCs w:val="18"/>
    </w:rPr>
  </w:style>
  <w:style w:type="paragraph" w:styleId="20">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widowControl w:val="0"/>
      <w:tabs>
        <w:tab w:val="left" w:pos="709"/>
        <w:tab w:val="right" w:leader="dot" w:pos="8222"/>
      </w:tabs>
      <w:spacing w:line="360" w:lineRule="auto"/>
      <w:jc w:val="both"/>
    </w:pPr>
    <w:rPr>
      <w:lang w:val="en-US"/>
    </w:rPr>
  </w:style>
  <w:style w:type="paragraph" w:styleId="22">
    <w:name w:val="toc 4"/>
    <w:basedOn w:val="1"/>
    <w:next w:val="1"/>
    <w:autoRedefine/>
    <w:qFormat/>
    <w:uiPriority w:val="0"/>
    <w:pPr>
      <w:widowControl w:val="0"/>
      <w:ind w:left="1260" w:leftChars="600"/>
      <w:jc w:val="both"/>
    </w:pPr>
    <w:rPr>
      <w:sz w:val="21"/>
      <w:lang w:val="en-US"/>
    </w:rPr>
  </w:style>
  <w:style w:type="paragraph" w:styleId="23">
    <w:name w:val="toc 6"/>
    <w:basedOn w:val="1"/>
    <w:next w:val="1"/>
    <w:autoRedefine/>
    <w:qFormat/>
    <w:uiPriority w:val="0"/>
    <w:pPr>
      <w:widowControl w:val="0"/>
      <w:ind w:left="2100" w:leftChars="1000"/>
      <w:jc w:val="both"/>
    </w:pPr>
    <w:rPr>
      <w:sz w:val="21"/>
      <w:lang w:val="en-US"/>
    </w:rPr>
  </w:style>
  <w:style w:type="paragraph" w:styleId="24">
    <w:name w:val="toc 2"/>
    <w:basedOn w:val="1"/>
    <w:next w:val="1"/>
    <w:autoRedefine/>
    <w:qFormat/>
    <w:uiPriority w:val="0"/>
    <w:pPr>
      <w:widowControl w:val="0"/>
      <w:ind w:left="420" w:leftChars="200"/>
      <w:jc w:val="both"/>
    </w:pPr>
    <w:rPr>
      <w:sz w:val="21"/>
      <w:lang w:val="en-US"/>
    </w:rPr>
  </w:style>
  <w:style w:type="paragraph" w:styleId="25">
    <w:name w:val="toc 9"/>
    <w:basedOn w:val="1"/>
    <w:next w:val="1"/>
    <w:autoRedefine/>
    <w:qFormat/>
    <w:uiPriority w:val="0"/>
    <w:pPr>
      <w:widowControl w:val="0"/>
      <w:ind w:left="3360" w:leftChars="1600"/>
      <w:jc w:val="both"/>
    </w:pPr>
    <w:rPr>
      <w:sz w:val="21"/>
      <w:lang w:val="en-US"/>
    </w:rPr>
  </w:style>
  <w:style w:type="paragraph" w:styleId="26">
    <w:name w:val="annotation subject"/>
    <w:basedOn w:val="13"/>
    <w:next w:val="13"/>
    <w:autoRedefine/>
    <w:semiHidden/>
    <w:qFormat/>
    <w:uiPriority w:val="0"/>
    <w:rPr>
      <w:b/>
      <w:bCs/>
    </w:r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autoRedefine/>
    <w:qFormat/>
    <w:uiPriority w:val="0"/>
  </w:style>
  <w:style w:type="character" w:styleId="31">
    <w:name w:val="Hyperlink"/>
    <w:autoRedefine/>
    <w:qFormat/>
    <w:uiPriority w:val="99"/>
    <w:rPr>
      <w:color w:val="0000FF"/>
      <w:u w:val="single"/>
    </w:rPr>
  </w:style>
  <w:style w:type="character" w:styleId="32">
    <w:name w:val="annotation reference"/>
    <w:autoRedefine/>
    <w:semiHidden/>
    <w:qFormat/>
    <w:uiPriority w:val="0"/>
    <w:rPr>
      <w:sz w:val="21"/>
      <w:szCs w:val="21"/>
    </w:rPr>
  </w:style>
  <w:style w:type="paragraph" w:customStyle="1" w:styleId="33">
    <w:name w:val=" Char Char Char Char Char"/>
    <w:basedOn w:val="1"/>
    <w:autoRedefine/>
    <w:qFormat/>
    <w:uiPriority w:val="0"/>
    <w:pPr>
      <w:widowControl w:val="0"/>
      <w:spacing w:line="360" w:lineRule="auto"/>
      <w:jc w:val="both"/>
    </w:pPr>
    <w:rPr>
      <w:rFonts w:ascii="Tahoma" w:hAnsi="Tahoma"/>
      <w:w w:val="80"/>
      <w:szCs w:val="28"/>
      <w:lang w:val="en-US"/>
    </w:rPr>
  </w:style>
  <w:style w:type="paragraph" w:customStyle="1" w:styleId="34">
    <w:name w:val="Style Right"/>
    <w:basedOn w:val="1"/>
    <w:autoRedefine/>
    <w:qFormat/>
    <w:uiPriority w:val="0"/>
    <w:pPr>
      <w:widowControl w:val="0"/>
      <w:jc w:val="right"/>
    </w:pPr>
    <w:rPr>
      <w:rFonts w:ascii="宋体" w:hAnsi="宋体"/>
      <w:sz w:val="21"/>
      <w:szCs w:val="21"/>
      <w:lang w:val="en-US"/>
    </w:rPr>
  </w:style>
  <w:style w:type="paragraph" w:customStyle="1" w:styleId="35">
    <w:name w:val="Style Plain Text + (Latin) Times New Roman 12 pt Left Line spaci..."/>
    <w:basedOn w:val="16"/>
    <w:autoRedefine/>
    <w:qFormat/>
    <w:uiPriority w:val="0"/>
    <w:pPr>
      <w:spacing w:line="400" w:lineRule="exact"/>
      <w:jc w:val="left"/>
    </w:pPr>
    <w:rPr>
      <w:rFonts w:hAnsi="Times New Roman" w:cs="Times New Roman"/>
      <w:sz w:val="24"/>
      <w:szCs w:val="24"/>
    </w:rPr>
  </w:style>
  <w:style w:type="paragraph" w:customStyle="1" w:styleId="36">
    <w:name w:val="Style Plain Text + (Latin) Times New Roman 12 pt"/>
    <w:basedOn w:val="16"/>
    <w:autoRedefine/>
    <w:qFormat/>
    <w:uiPriority w:val="0"/>
    <w:rPr>
      <w:rFonts w:hAnsi="Times New Roman"/>
      <w:sz w:val="24"/>
      <w:szCs w:val="24"/>
    </w:rPr>
  </w:style>
  <w:style w:type="paragraph" w:customStyle="1" w:styleId="37">
    <w:name w:val="BodyText"/>
    <w:basedOn w:val="16"/>
    <w:autoRedefine/>
    <w:qFormat/>
    <w:uiPriority w:val="0"/>
    <w:pPr>
      <w:spacing w:line="360" w:lineRule="auto"/>
      <w:ind w:firstLine="510"/>
    </w:pPr>
    <w:rPr>
      <w:rFonts w:ascii="Times New Roman" w:hAnsi="宋体" w:cs="Times New Roman"/>
      <w:color w:val="000000"/>
      <w:sz w:val="24"/>
      <w:szCs w:val="28"/>
    </w:rPr>
  </w:style>
  <w:style w:type="paragraph" w:customStyle="1" w:styleId="38">
    <w:name w:val=" Char Char Char Char"/>
    <w:basedOn w:val="1"/>
    <w:link w:val="39"/>
    <w:autoRedefine/>
    <w:qFormat/>
    <w:uiPriority w:val="0"/>
    <w:pPr>
      <w:widowControl w:val="0"/>
      <w:jc w:val="both"/>
    </w:pPr>
    <w:rPr>
      <w:sz w:val="21"/>
      <w:lang w:val="en-US"/>
    </w:rPr>
  </w:style>
  <w:style w:type="character" w:customStyle="1" w:styleId="39">
    <w:name w:val=" Char Char Char Char Char1"/>
    <w:link w:val="38"/>
    <w:autoRedefine/>
    <w:qFormat/>
    <w:uiPriority w:val="0"/>
    <w:rPr>
      <w:rFonts w:eastAsia="宋体"/>
      <w:kern w:val="2"/>
      <w:sz w:val="21"/>
      <w:szCs w:val="24"/>
      <w:lang w:val="en-US" w:eastAsia="zh-CN" w:bidi="ar-SA"/>
    </w:rPr>
  </w:style>
  <w:style w:type="paragraph" w:customStyle="1" w:styleId="40">
    <w:name w:val="Char Char Char Char"/>
    <w:basedOn w:val="1"/>
    <w:autoRedefine/>
    <w:qFormat/>
    <w:uiPriority w:val="0"/>
    <w:pPr>
      <w:widowControl w:val="0"/>
      <w:jc w:val="both"/>
    </w:pPr>
    <w:rPr>
      <w:sz w:val="21"/>
      <w:lang w:val="en-US"/>
    </w:rPr>
  </w:style>
  <w:style w:type="paragraph" w:customStyle="1" w:styleId="41">
    <w:name w:val="Char Char Char Char Char"/>
    <w:basedOn w:val="1"/>
    <w:autoRedefine/>
    <w:qFormat/>
    <w:uiPriority w:val="0"/>
    <w:pPr>
      <w:widowControl w:val="0"/>
      <w:spacing w:line="360" w:lineRule="auto"/>
      <w:jc w:val="both"/>
    </w:pPr>
    <w:rPr>
      <w:rFonts w:ascii="Tahoma" w:hAnsi="Tahoma"/>
      <w:w w:val="80"/>
      <w:szCs w:val="28"/>
      <w:lang w:val="en-US"/>
    </w:rPr>
  </w:style>
  <w:style w:type="character" w:customStyle="1" w:styleId="42">
    <w:name w:val="页眉 Char"/>
    <w:link w:val="20"/>
    <w:autoRedefine/>
    <w:qFormat/>
    <w:uiPriority w:val="0"/>
    <w:rPr>
      <w:kern w:val="2"/>
      <w:sz w:val="18"/>
      <w:szCs w:val="18"/>
      <w:lang w:val="en-GB"/>
    </w:rPr>
  </w:style>
  <w:style w:type="paragraph" w:styleId="43">
    <w:name w:val="List Paragraph"/>
    <w:basedOn w:val="1"/>
    <w:autoRedefine/>
    <w:qFormat/>
    <w:uiPriority w:val="34"/>
    <w:pPr>
      <w:widowControl w:val="0"/>
      <w:ind w:firstLine="420" w:firstLineChars="200"/>
      <w:jc w:val="both"/>
    </w:pPr>
    <w:rPr>
      <w:sz w:val="21"/>
      <w:lang w:val="en-US"/>
    </w:rPr>
  </w:style>
  <w:style w:type="paragraph" w:customStyle="1" w:styleId="44">
    <w:name w:val="默认段落字体 Para Char Char Char Char"/>
    <w:basedOn w:val="1"/>
    <w:autoRedefine/>
    <w:qFormat/>
    <w:uiPriority w:val="0"/>
    <w:pPr>
      <w:widowControl w:val="0"/>
      <w:spacing w:line="360" w:lineRule="auto"/>
      <w:jc w:val="both"/>
    </w:pPr>
    <w:rPr>
      <w:rFonts w:ascii="Tahoma" w:hAnsi="Tahoma"/>
      <w:szCs w:val="20"/>
      <w:lang w:val="en-US"/>
    </w:rPr>
  </w:style>
  <w:style w:type="character" w:customStyle="1" w:styleId="45">
    <w:name w:val="标题 4 Char"/>
    <w:link w:val="5"/>
    <w:autoRedefine/>
    <w:qFormat/>
    <w:uiPriority w:val="0"/>
    <w:rPr>
      <w:rFonts w:ascii="Arial" w:hAnsi="Arial"/>
      <w:kern w:val="2"/>
      <w:sz w:val="30"/>
    </w:rPr>
  </w:style>
  <w:style w:type="character" w:customStyle="1" w:styleId="46">
    <w:name w:val="标题 5 Char"/>
    <w:link w:val="7"/>
    <w:qFormat/>
    <w:uiPriority w:val="0"/>
    <w:rPr>
      <w:b/>
      <w:bCs/>
      <w:kern w:val="2"/>
      <w:sz w:val="28"/>
      <w:szCs w:val="28"/>
    </w:rPr>
  </w:style>
  <w:style w:type="character" w:customStyle="1" w:styleId="47">
    <w:name w:val="标题 6 Char"/>
    <w:link w:val="8"/>
    <w:autoRedefine/>
    <w:qFormat/>
    <w:uiPriority w:val="0"/>
    <w:rPr>
      <w:rFonts w:ascii="Arial" w:hAnsi="Arial" w:eastAsia="黑体"/>
      <w:b/>
      <w:bCs/>
      <w:kern w:val="2"/>
      <w:sz w:val="24"/>
      <w:szCs w:val="24"/>
    </w:rPr>
  </w:style>
  <w:style w:type="character" w:customStyle="1" w:styleId="48">
    <w:name w:val="标题 7 Char"/>
    <w:link w:val="9"/>
    <w:autoRedefine/>
    <w:qFormat/>
    <w:uiPriority w:val="0"/>
    <w:rPr>
      <w:b/>
      <w:bCs/>
      <w:kern w:val="2"/>
      <w:sz w:val="24"/>
      <w:szCs w:val="24"/>
    </w:rPr>
  </w:style>
  <w:style w:type="character" w:customStyle="1" w:styleId="49">
    <w:name w:val="标题 8 Char"/>
    <w:link w:val="10"/>
    <w:autoRedefine/>
    <w:qFormat/>
    <w:uiPriority w:val="0"/>
    <w:rPr>
      <w:rFonts w:ascii="Arial" w:hAnsi="Arial" w:eastAsia="黑体"/>
      <w:kern w:val="2"/>
      <w:sz w:val="24"/>
      <w:szCs w:val="24"/>
    </w:rPr>
  </w:style>
  <w:style w:type="character" w:customStyle="1" w:styleId="50">
    <w:name w:val="标题 9 Char"/>
    <w:link w:val="11"/>
    <w:qFormat/>
    <w:uiPriority w:val="0"/>
    <w:rPr>
      <w:rFonts w:ascii="Arial" w:hAnsi="Arial" w:eastAsia="黑体"/>
      <w:kern w:val="2"/>
      <w:sz w:val="21"/>
      <w:szCs w:val="21"/>
    </w:rPr>
  </w:style>
  <w:style w:type="paragraph" w:customStyle="1" w:styleId="51">
    <w:name w:val="Numbering"/>
    <w:basedOn w:val="16"/>
    <w:autoRedefine/>
    <w:qFormat/>
    <w:uiPriority w:val="0"/>
    <w:pPr>
      <w:numPr>
        <w:ilvl w:val="0"/>
        <w:numId w:val="2"/>
      </w:numPr>
      <w:spacing w:line="360" w:lineRule="auto"/>
      <w:ind w:left="0" w:firstLine="510"/>
      <w:jc w:val="left"/>
    </w:pPr>
    <w:rPr>
      <w:rFonts w:ascii="Times New Roman" w:hAnsi="Times New Roman" w:cs="Times New Roman"/>
      <w:sz w:val="24"/>
      <w:szCs w:val="28"/>
    </w:rPr>
  </w:style>
  <w:style w:type="paragraph" w:customStyle="1" w:styleId="52">
    <w:name w:val="Style Heading 4 + Not Bold"/>
    <w:basedOn w:val="1"/>
    <w:autoRedefine/>
    <w:qFormat/>
    <w:uiPriority w:val="0"/>
    <w:pPr>
      <w:widowControl w:val="0"/>
      <w:numPr>
        <w:ilvl w:val="0"/>
        <w:numId w:val="3"/>
      </w:numPr>
      <w:tabs>
        <w:tab w:val="clear" w:pos="2681"/>
      </w:tabs>
      <w:ind w:left="0" w:firstLine="0"/>
      <w:jc w:val="both"/>
    </w:pPr>
    <w:rPr>
      <w:sz w:val="21"/>
      <w:lang w:val="en-US"/>
    </w:rPr>
  </w:style>
  <w:style w:type="paragraph" w:customStyle="1" w:styleId="53">
    <w:name w:val="Style1"/>
    <w:basedOn w:val="2"/>
    <w:autoRedefine/>
    <w:qFormat/>
    <w:uiPriority w:val="0"/>
    <w:pPr>
      <w:numPr>
        <w:ilvl w:val="0"/>
        <w:numId w:val="4"/>
      </w:numPr>
      <w:tabs>
        <w:tab w:val="clear" w:pos="1418"/>
      </w:tabs>
      <w:spacing w:line="440" w:lineRule="exact"/>
    </w:pPr>
    <w:rPr>
      <w:sz w:val="28"/>
      <w:szCs w:val="28"/>
    </w:rPr>
  </w:style>
  <w:style w:type="paragraph" w:customStyle="1" w:styleId="54">
    <w:name w:val="Style2"/>
    <w:basedOn w:val="2"/>
    <w:autoRedefine/>
    <w:qFormat/>
    <w:uiPriority w:val="0"/>
    <w:pPr>
      <w:numPr>
        <w:ilvl w:val="0"/>
        <w:numId w:val="5"/>
      </w:numPr>
      <w:tabs>
        <w:tab w:val="clear" w:pos="1418"/>
      </w:tabs>
      <w:spacing w:line="440" w:lineRule="exact"/>
    </w:pPr>
    <w:rPr>
      <w:sz w:val="28"/>
      <w:szCs w:val="28"/>
    </w:rPr>
  </w:style>
  <w:style w:type="paragraph" w:customStyle="1" w:styleId="5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_Style 55"/>
    <w:basedOn w:val="2"/>
    <w:next w:val="1"/>
    <w:autoRedefine/>
    <w:unhideWhenUsed/>
    <w:qFormat/>
    <w:uiPriority w:val="39"/>
    <w:pPr>
      <w:widowControl/>
      <w:numPr>
        <w:ilvl w:val="0"/>
        <w:numId w:val="0"/>
      </w:numPr>
      <w:tabs>
        <w:tab w:val="clear" w:pos="1418"/>
      </w:tabs>
      <w:spacing w:before="240" w:line="259" w:lineRule="auto"/>
      <w:jc w:val="left"/>
      <w:outlineLvl w:val="9"/>
    </w:pPr>
    <w:rPr>
      <w:rFonts w:ascii="等线 Light" w:hAnsi="等线 Light" w:eastAsia="等线 Light" w:cs="Times New Roman"/>
      <w:b w:val="0"/>
      <w:bCs w:val="0"/>
      <w:color w:val="2E74B5"/>
      <w:kern w:val="0"/>
      <w:sz w:val="32"/>
      <w:szCs w:val="32"/>
    </w:rPr>
  </w:style>
  <w:style w:type="character" w:customStyle="1" w:styleId="57">
    <w:name w:val="页脚 字符"/>
    <w:link w:val="19"/>
    <w:autoRedefine/>
    <w:qFormat/>
    <w:uiPriority w:val="99"/>
    <w:rPr>
      <w:kern w:val="2"/>
      <w:sz w:val="18"/>
      <w:szCs w:val="18"/>
      <w:lang w:val="en-GB"/>
    </w:rPr>
  </w:style>
  <w:style w:type="character" w:customStyle="1" w:styleId="58">
    <w:name w:val="Body text|5_"/>
    <w:link w:val="59"/>
    <w:autoRedefine/>
    <w:qFormat/>
    <w:uiPriority w:val="0"/>
    <w:rPr>
      <w:rFonts w:ascii="宋体" w:hAnsi="宋体" w:cs="宋体"/>
      <w:color w:val="142D16"/>
      <w:sz w:val="32"/>
      <w:szCs w:val="32"/>
      <w:lang w:val="zh-TW" w:eastAsia="zh-TW" w:bidi="zh-TW"/>
    </w:rPr>
  </w:style>
  <w:style w:type="paragraph" w:customStyle="1" w:styleId="59">
    <w:name w:val="Body text|5"/>
    <w:basedOn w:val="1"/>
    <w:link w:val="58"/>
    <w:autoRedefine/>
    <w:qFormat/>
    <w:uiPriority w:val="0"/>
    <w:pPr>
      <w:widowControl w:val="0"/>
      <w:spacing w:after="90" w:line="547" w:lineRule="exact"/>
      <w:jc w:val="center"/>
    </w:pPr>
    <w:rPr>
      <w:rFonts w:ascii="宋体" w:hAnsi="宋体" w:cs="宋体"/>
      <w:color w:val="142D16"/>
      <w:kern w:val="0"/>
      <w:sz w:val="32"/>
      <w:szCs w:val="32"/>
      <w:lang w:val="zh-TW" w:eastAsia="zh-TW" w:bidi="zh-TW"/>
    </w:rPr>
  </w:style>
  <w:style w:type="character" w:customStyle="1" w:styleId="60">
    <w:name w:val="Body text|1_"/>
    <w:link w:val="61"/>
    <w:autoRedefine/>
    <w:qFormat/>
    <w:uiPriority w:val="0"/>
    <w:rPr>
      <w:rFonts w:ascii="宋体" w:hAnsi="宋体" w:cs="宋体"/>
      <w:lang w:val="zh-TW" w:eastAsia="zh-TW" w:bidi="zh-TW"/>
    </w:rPr>
  </w:style>
  <w:style w:type="paragraph" w:customStyle="1" w:styleId="61">
    <w:name w:val="Body text|1"/>
    <w:basedOn w:val="1"/>
    <w:link w:val="60"/>
    <w:autoRedefine/>
    <w:qFormat/>
    <w:uiPriority w:val="0"/>
    <w:pPr>
      <w:widowControl w:val="0"/>
      <w:spacing w:line="408" w:lineRule="auto"/>
      <w:ind w:firstLine="400"/>
    </w:pPr>
    <w:rPr>
      <w:rFonts w:ascii="宋体" w:hAnsi="宋体" w:cs="宋体"/>
      <w:kern w:val="0"/>
      <w:sz w:val="20"/>
      <w:szCs w:val="20"/>
      <w:lang w:val="zh-TW" w:eastAsia="zh-TW" w:bidi="zh-TW"/>
    </w:rPr>
  </w:style>
  <w:style w:type="character" w:customStyle="1" w:styleId="62">
    <w:name w:val="页脚 Char"/>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35MW&#21512;&#21516;&#33539;&#26412;\&#26757;&#33655;&#30005;&#22522;&#24314;000&#21495;-&#31616;&#26131;&#21512;&#21516;&#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梅荷电基建000号-简易合同版</Template>
  <Pages>27</Pages>
  <Words>3340</Words>
  <Characters>19042</Characters>
  <Lines>158</Lines>
  <Paragraphs>44</Paragraphs>
  <TotalTime>4</TotalTime>
  <ScaleCrop>false</ScaleCrop>
  <LinksUpToDate>false</LinksUpToDate>
  <CharactersWithSpaces>22338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2019-03-14T14:27:00Z</dcterms:created>
  <dc:creator>廖贵</dc:creator>
  <cp:lastModifiedBy>༽</cp:lastModifiedBy>
  <cp:lastPrinted>2010-10-18T01:25:00Z</cp:lastPrinted>
  <dcterms:modified xsi:type="dcterms:W3CDTF">2024-04-07T03:58:51Z</dcterms:modified>
  <dc:title> </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F3661F73CBBF43968E0E1D1A98AEE727_13</vt:lpwstr>
  </property>
</Properties>
</file>