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JHWWZ-20240316-01(CH-SWJHW2024-012)</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陆丰甲湖湾电厂氦质谱仪真空检漏仪采购项目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bookmarkStart w:id="16" w:name="_GoBack"/>
      <w:bookmarkEnd w:id="16"/>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657"/>
        <w:gridCol w:w="1404"/>
        <w:gridCol w:w="755"/>
        <w:gridCol w:w="936"/>
        <w:gridCol w:w="191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93" w:type="dxa"/>
            <w:vAlign w:val="center"/>
          </w:tcPr>
          <w:p>
            <w:pPr>
              <w:spacing w:before="50" w:line="360" w:lineRule="auto"/>
              <w:jc w:val="center"/>
              <w:rPr>
                <w:rFonts w:hint="default"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 xml:space="preserve">名称 </w:t>
            </w:r>
          </w:p>
        </w:tc>
        <w:tc>
          <w:tcPr>
            <w:tcW w:w="2657" w:type="dxa"/>
            <w:vAlign w:val="center"/>
          </w:tcPr>
          <w:p>
            <w:pPr>
              <w:spacing w:before="50" w:line="360" w:lineRule="auto"/>
              <w:jc w:val="cente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规格/材质</w:t>
            </w:r>
          </w:p>
        </w:tc>
        <w:tc>
          <w:tcPr>
            <w:tcW w:w="1404" w:type="dxa"/>
            <w:vAlign w:val="center"/>
          </w:tcPr>
          <w:p>
            <w:pPr>
              <w:spacing w:before="50" w:line="360" w:lineRule="auto"/>
              <w:jc w:val="center"/>
              <w:rPr>
                <w:rFonts w:hint="default"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要求</w:t>
            </w:r>
          </w:p>
        </w:tc>
        <w:tc>
          <w:tcPr>
            <w:tcW w:w="755" w:type="dxa"/>
            <w:vAlign w:val="center"/>
          </w:tcPr>
          <w:p>
            <w:pPr>
              <w:spacing w:before="50" w:line="360" w:lineRule="auto"/>
              <w:jc w:val="cente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单位</w:t>
            </w:r>
          </w:p>
        </w:tc>
        <w:tc>
          <w:tcPr>
            <w:tcW w:w="936" w:type="dxa"/>
            <w:vAlign w:val="center"/>
          </w:tcPr>
          <w:p>
            <w:pPr>
              <w:spacing w:before="50" w:line="360" w:lineRule="auto"/>
              <w:jc w:val="center"/>
              <w:rPr>
                <w:rFonts w:hint="eastAsia" w:ascii="宋体" w:hAnsi="宋体" w:cs="宋体"/>
                <w:b/>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lang w:val="en-US" w:eastAsia="zh-CN"/>
                <w14:textFill>
                  <w14:solidFill>
                    <w14:schemeClr w14:val="tx1"/>
                  </w14:solidFill>
                </w14:textFill>
              </w:rPr>
              <w:t>数量</w:t>
            </w:r>
          </w:p>
        </w:tc>
        <w:tc>
          <w:tcPr>
            <w:tcW w:w="1910" w:type="dxa"/>
            <w:vAlign w:val="center"/>
          </w:tcPr>
          <w:p>
            <w:pPr>
              <w:spacing w:before="50" w:line="360" w:lineRule="auto"/>
              <w:jc w:val="center"/>
              <w:rPr>
                <w:rFonts w:ascii="宋体" w:hAnsi="宋体" w:cs="宋体"/>
                <w:b/>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14:textFill>
                  <w14:solidFill>
                    <w14:schemeClr w14:val="tx1"/>
                  </w14:solidFill>
                </w14:textFill>
              </w:rPr>
              <w:t>货期</w:t>
            </w:r>
          </w:p>
        </w:tc>
        <w:tc>
          <w:tcPr>
            <w:tcW w:w="1201" w:type="dxa"/>
            <w:shd w:val="clear" w:color="auto" w:fill="auto"/>
            <w:vAlign w:val="center"/>
          </w:tcPr>
          <w:p>
            <w:pPr>
              <w:spacing w:before="50" w:line="360" w:lineRule="auto"/>
              <w:jc w:val="center"/>
              <w:rPr>
                <w:rFonts w:ascii="宋体" w:hAnsi="宋体" w:cs="宋体"/>
                <w:b/>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
                <w:color w:val="000000" w:themeColor="text1"/>
                <w:sz w:val="24"/>
                <w:szCs w:val="24"/>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jc w:val="center"/>
        </w:trPr>
        <w:tc>
          <w:tcPr>
            <w:tcW w:w="893" w:type="dxa"/>
            <w:vAlign w:val="center"/>
          </w:tcPr>
          <w:p>
            <w:pPr>
              <w:keepNext w:val="0"/>
              <w:keepLines w:val="0"/>
              <w:widowControl/>
              <w:suppressLineNumbers w:val="0"/>
              <w:jc w:val="center"/>
              <w:textAlignment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氦质谱仪真空检漏仪</w:t>
            </w:r>
          </w:p>
        </w:tc>
        <w:tc>
          <w:tcPr>
            <w:tcW w:w="2657" w:type="dxa"/>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  规格材质：</w:t>
            </w:r>
          </w:p>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 真空最小可检漏率：3×10-13 Pa ·m3/s</w:t>
            </w:r>
          </w:p>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真空漏率显示范围：1×10-1 Pa ·m3/s~1×10-13 Pa ·m3/s</w:t>
            </w:r>
          </w:p>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粗抽能力： 16m3 /H</w:t>
            </w:r>
          </w:p>
          <w:p>
            <w:pPr>
              <w:keepNext w:val="0"/>
              <w:keepLines w:val="0"/>
              <w:widowControl/>
              <w:suppressLineNumbers w:val="0"/>
              <w:jc w:val="center"/>
              <w:textAlignment w:val="center"/>
              <w:rPr>
                <w:rFonts w:hint="default"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语言：中文</w:t>
            </w:r>
          </w:p>
        </w:tc>
        <w:tc>
          <w:tcPr>
            <w:tcW w:w="1404" w:type="dxa"/>
            <w:vAlign w:val="center"/>
          </w:tcPr>
          <w:p>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法国adixen、华尔升，爱德华、莱宝、普发、安捷伦</w:t>
            </w:r>
          </w:p>
        </w:tc>
        <w:tc>
          <w:tcPr>
            <w:tcW w:w="755" w:type="dxa"/>
            <w:vAlign w:val="center"/>
          </w:tcPr>
          <w:p>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i w:val="0"/>
                <w:iCs w:val="0"/>
                <w:color w:val="000000"/>
                <w:kern w:val="0"/>
                <w:sz w:val="24"/>
                <w:szCs w:val="24"/>
                <w:highlight w:val="none"/>
                <w:u w:val="none"/>
                <w:lang w:val="en-US" w:eastAsia="zh-CN" w:bidi="ar"/>
              </w:rPr>
              <w:t>套</w:t>
            </w:r>
          </w:p>
        </w:tc>
        <w:tc>
          <w:tcPr>
            <w:tcW w:w="936"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lang w:val="en-US" w:eastAsia="zh-CN"/>
                <w14:textFill>
                  <w14:solidFill>
                    <w14:schemeClr w14:val="tx1"/>
                  </w14:solidFill>
                </w14:textFill>
              </w:rPr>
              <w:t>1</w:t>
            </w:r>
          </w:p>
        </w:tc>
        <w:tc>
          <w:tcPr>
            <w:tcW w:w="1910" w:type="dxa"/>
            <w:vAlign w:val="center"/>
          </w:tcPr>
          <w:p>
            <w:pPr>
              <w:tabs>
                <w:tab w:val="left" w:pos="1128"/>
              </w:tabs>
              <w:spacing w:before="50" w:line="360" w:lineRule="auto"/>
              <w:jc w:val="center"/>
              <w:rPr>
                <w:rFonts w:ascii="宋体" w:hAnsi="宋体" w:cs="宋体"/>
                <w:bCs/>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1" w:type="dxa"/>
            <w:vAlign w:val="center"/>
          </w:tcPr>
          <w:p>
            <w:pPr>
              <w:tabs>
                <w:tab w:val="left" w:pos="1128"/>
              </w:tabs>
              <w:spacing w:before="50" w:line="360" w:lineRule="auto"/>
              <w:jc w:val="center"/>
              <w:rPr>
                <w:rFonts w:ascii="宋体" w:hAnsi="宋体" w:cs="宋体"/>
                <w:bCs/>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cs="宋体"/>
                <w:bCs/>
                <w:color w:val="000000" w:themeColor="text1"/>
                <w:sz w:val="24"/>
                <w:szCs w:val="24"/>
                <w:highlight w:val="none"/>
                <w:shd w:val="clear" w:color="auto" w:fill="FFFFFF" w:themeFill="background1"/>
                <w14:textFill>
                  <w14:solidFill>
                    <w14:schemeClr w14:val="tx1"/>
                  </w14:solidFill>
                </w14:textFill>
              </w:rPr>
              <w:t>由招标人通知送货</w:t>
            </w: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8" w:name="_Toc271292849"/>
      <w:bookmarkStart w:id="9" w:name="_Toc60080662"/>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陆丰甲湖湾电厂氦质谱仪真空检漏仪采购项目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16084"/>
      <w:bookmarkStart w:id="14" w:name="_Toc21777"/>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JHWWZ-20240316-01</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JXB-QJFYSQ-20240313</w:t>
            </w:r>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2024/03/31</w:t>
            </w:r>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Times New Roman"/>
                <w:szCs w:val="21"/>
                <w:highlight w:val="none"/>
                <w:lang w:val="en-GB"/>
              </w:rPr>
              <w:t>广东省陆丰市湖东镇宝丽华甲湖湾能源基地</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GB"/>
              </w:rPr>
              <w:t>（具体卸货地点由</w:t>
            </w:r>
            <w:r>
              <w:rPr>
                <w:rFonts w:hint="eastAsia" w:ascii="宋体" w:hAnsi="宋体" w:eastAsia="宋体" w:cs="Times New Roman"/>
                <w:szCs w:val="21"/>
                <w:highlight w:val="none"/>
                <w:lang w:val="en-US" w:eastAsia="zh-CN"/>
              </w:rPr>
              <w:t>招标</w:t>
            </w:r>
            <w:r>
              <w:rPr>
                <w:rFonts w:hint="eastAsia" w:ascii="宋体" w:hAnsi="宋体" w:eastAsia="宋体" w:cs="Times New Roman"/>
                <w:szCs w:val="21"/>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陆丰甲湖湾电厂氦质谱仪真空检漏仪采购项目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JHWWZ-20240316-01(CH-SWJHW2024-012)</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410345"/>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761CD"/>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29D0130"/>
    <w:rsid w:val="62E31BE7"/>
    <w:rsid w:val="62EE4E0E"/>
    <w:rsid w:val="63103536"/>
    <w:rsid w:val="631D35FB"/>
    <w:rsid w:val="637117B0"/>
    <w:rsid w:val="63D66F47"/>
    <w:rsid w:val="6432514E"/>
    <w:rsid w:val="64EA02DD"/>
    <w:rsid w:val="650769F5"/>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C8256C"/>
    <w:rsid w:val="6AD53F79"/>
    <w:rsid w:val="6B0753CB"/>
    <w:rsid w:val="6B4529DE"/>
    <w:rsid w:val="6BDA3E26"/>
    <w:rsid w:val="6D0A0937"/>
    <w:rsid w:val="6D117C98"/>
    <w:rsid w:val="6D57537F"/>
    <w:rsid w:val="6E1706B0"/>
    <w:rsid w:val="6E34233E"/>
    <w:rsid w:val="6E376631"/>
    <w:rsid w:val="6E4E761C"/>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0</TotalTime>
  <ScaleCrop>false</ScaleCrop>
  <LinksUpToDate>false</LinksUpToDate>
  <CharactersWithSpaces>6706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2024-03-21T02:11:44Z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AB63EC0B47564F879AC5614CA450C25A</vt:lpwstr>
  </property>
</Properties>
</file>