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textAlignment w:val="baseline"/>
        <w:rPr>
          <w:rFonts w:ascii="黑体" w:eastAsia="黑体"/>
          <w:b/>
          <w:bCs/>
          <w:kern w:val="0"/>
          <w:sz w:val="32"/>
          <w:szCs w:val="32"/>
        </w:rPr>
      </w:pPr>
    </w:p>
    <w:p>
      <w:pPr>
        <w:adjustRightInd w:val="0"/>
        <w:snapToGrid w:val="0"/>
        <w:spacing w:line="360" w:lineRule="auto"/>
        <w:jc w:val="center"/>
        <w:textAlignment w:val="baseline"/>
        <w:rPr>
          <w:rFonts w:ascii="黑体" w:eastAsia="黑体"/>
          <w:b/>
          <w:bCs/>
          <w:kern w:val="0"/>
          <w:sz w:val="52"/>
          <w:szCs w:val="52"/>
        </w:rPr>
      </w:pPr>
      <w:r>
        <w:rPr>
          <w:rFonts w:hint="eastAsia" w:ascii="黑体" w:eastAsia="黑体"/>
          <w:b/>
          <w:bCs/>
          <w:kern w:val="0"/>
          <w:sz w:val="52"/>
          <w:szCs w:val="52"/>
        </w:rPr>
        <w:t>2024年度一期1、2号锅炉受热面管状态检验及评价</w:t>
      </w:r>
    </w:p>
    <w:p>
      <w:pPr>
        <w:adjustRightInd w:val="0"/>
        <w:snapToGrid w:val="0"/>
        <w:spacing w:line="360" w:lineRule="auto"/>
        <w:ind w:firstLine="247" w:firstLineChars="246"/>
        <w:jc w:val="center"/>
        <w:textAlignment w:val="baseline"/>
        <w:rPr>
          <w:rFonts w:ascii="黑体" w:eastAsia="黑体"/>
          <w:b/>
          <w:bCs/>
          <w:kern w:val="0"/>
          <w:sz w:val="10"/>
          <w:szCs w:val="52"/>
        </w:rPr>
      </w:pPr>
    </w:p>
    <w:p>
      <w:pPr>
        <w:adjustRightInd w:val="0"/>
        <w:snapToGrid w:val="0"/>
        <w:spacing w:line="360" w:lineRule="auto"/>
        <w:ind w:firstLine="3372" w:firstLineChars="646"/>
        <w:textAlignment w:val="baseline"/>
        <w:rPr>
          <w:rFonts w:ascii="黑体" w:eastAsia="黑体"/>
          <w:b/>
          <w:bCs/>
          <w:kern w:val="0"/>
          <w:sz w:val="52"/>
          <w:szCs w:val="52"/>
          <w:u w:val="single"/>
        </w:rPr>
      </w:pPr>
      <w:r>
        <w:rPr>
          <w:rFonts w:hint="eastAsia" w:ascii="黑体" w:eastAsia="黑体"/>
          <w:b/>
          <w:bCs/>
          <w:kern w:val="0"/>
          <w:sz w:val="52"/>
          <w:szCs w:val="52"/>
        </w:rPr>
        <w:t>技术规范书</w:t>
      </w:r>
    </w:p>
    <w:tbl>
      <w:tblPr>
        <w:tblStyle w:val="16"/>
        <w:tblW w:w="7200" w:type="dxa"/>
        <w:tblInd w:w="82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40"/>
        <w:gridCol w:w="45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79"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厂长：</w:t>
            </w:r>
          </w:p>
        </w:tc>
        <w:tc>
          <w:tcPr>
            <w:tcW w:w="4560" w:type="dxa"/>
            <w:tcBorders>
              <w:top w:val="single" w:color="FFFFFF" w:sz="4" w:space="0"/>
            </w:tcBorders>
            <w:vAlign w:val="center"/>
          </w:tcPr>
          <w:p>
            <w:pPr>
              <w:adjustRightInd w:val="0"/>
              <w:snapToGrid w:val="0"/>
              <w:spacing w:line="360" w:lineRule="auto"/>
              <w:ind w:right="560"/>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8"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总工程师：</w:t>
            </w:r>
          </w:p>
        </w:tc>
        <w:tc>
          <w:tcPr>
            <w:tcW w:w="4560" w:type="dxa"/>
            <w:vAlign w:val="center"/>
          </w:tcPr>
          <w:p>
            <w:pPr>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8"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生 技 部：</w:t>
            </w:r>
          </w:p>
        </w:tc>
        <w:tc>
          <w:tcPr>
            <w:tcW w:w="4560" w:type="dxa"/>
            <w:vAlign w:val="center"/>
          </w:tcPr>
          <w:p>
            <w:pPr>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8"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安监/环保部：</w:t>
            </w:r>
          </w:p>
        </w:tc>
        <w:tc>
          <w:tcPr>
            <w:tcW w:w="4560" w:type="dxa"/>
            <w:vAlign w:val="center"/>
          </w:tcPr>
          <w:p>
            <w:pPr>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30"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发 电 部：</w:t>
            </w:r>
          </w:p>
        </w:tc>
        <w:tc>
          <w:tcPr>
            <w:tcW w:w="4560" w:type="dxa"/>
            <w:vAlign w:val="center"/>
          </w:tcPr>
          <w:p>
            <w:pPr>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30"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检 修 部：</w:t>
            </w:r>
          </w:p>
        </w:tc>
        <w:tc>
          <w:tcPr>
            <w:tcW w:w="4560" w:type="dxa"/>
            <w:vAlign w:val="center"/>
          </w:tcPr>
          <w:p>
            <w:pPr>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5"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专 业 组：</w:t>
            </w:r>
          </w:p>
        </w:tc>
        <w:tc>
          <w:tcPr>
            <w:tcW w:w="4560" w:type="dxa"/>
            <w:vAlign w:val="center"/>
          </w:tcPr>
          <w:p>
            <w:pPr>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5" w:hRule="atLeast"/>
        </w:trPr>
        <w:tc>
          <w:tcPr>
            <w:tcW w:w="2640" w:type="dxa"/>
            <w:tcBorders>
              <w:top w:val="single" w:color="FFFFFF" w:sz="4" w:space="0"/>
              <w:bottom w:val="single" w:color="FFFFFF" w:sz="4" w:space="0"/>
            </w:tcBorders>
            <w:vAlign w:val="bottom"/>
          </w:tcPr>
          <w:p>
            <w:pPr>
              <w:wordWrap w:val="0"/>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编    写：</w:t>
            </w:r>
          </w:p>
        </w:tc>
        <w:tc>
          <w:tcPr>
            <w:tcW w:w="4560" w:type="dxa"/>
            <w:vAlign w:val="center"/>
          </w:tcPr>
          <w:p>
            <w:pPr>
              <w:rPr>
                <w:rFonts w:ascii="黑体" w:hAnsi="黑体" w:eastAsia="黑体"/>
                <w:b/>
                <w:sz w:val="32"/>
                <w:szCs w:val="32"/>
              </w:rPr>
            </w:pPr>
          </w:p>
        </w:tc>
      </w:tr>
    </w:tbl>
    <w:p>
      <w:pPr>
        <w:jc w:val="center"/>
        <w:rPr>
          <w:rFonts w:ascii="黑体" w:eastAsia="黑体"/>
          <w:b/>
          <w:sz w:val="32"/>
          <w:szCs w:val="32"/>
        </w:rPr>
      </w:pPr>
      <w:r>
        <w:rPr>
          <w:rFonts w:hint="eastAsia" w:ascii="黑体" w:eastAsia="黑体"/>
          <w:b/>
          <w:sz w:val="32"/>
          <w:szCs w:val="32"/>
        </w:rPr>
        <w:t>陆丰宝丽华新能源电力有限公司</w:t>
      </w:r>
    </w:p>
    <w:p>
      <w:pPr>
        <w:spacing w:line="360" w:lineRule="auto"/>
        <w:jc w:val="center"/>
        <w:rPr>
          <w:rFonts w:ascii="黑体" w:eastAsia="黑体"/>
          <w:b/>
          <w:sz w:val="32"/>
          <w:szCs w:val="32"/>
        </w:rPr>
        <w:sectPr>
          <w:headerReference r:id="rId4" w:type="first"/>
          <w:headerReference r:id="rId3" w:type="default"/>
          <w:footerReference r:id="rId5" w:type="default"/>
          <w:footerReference r:id="rId6" w:type="even"/>
          <w:pgSz w:w="11906" w:h="16838"/>
          <w:pgMar w:top="1418" w:right="1134" w:bottom="1134" w:left="1418" w:header="1418" w:footer="992" w:gutter="0"/>
          <w:cols w:space="425" w:num="1"/>
          <w:titlePg/>
          <w:docGrid w:type="lines" w:linePitch="312" w:charSpace="0"/>
        </w:sectPr>
      </w:pPr>
      <w:r>
        <w:rPr>
          <w:rFonts w:hint="eastAsia" w:ascii="黑体" w:hAnsi="黑体" w:eastAsia="黑体"/>
          <w:b/>
          <w:sz w:val="32"/>
          <w:szCs w:val="32"/>
        </w:rPr>
        <w:t>二0二四年二月</w:t>
      </w:r>
    </w:p>
    <w:p>
      <w:pPr>
        <w:rPr>
          <w:rFonts w:ascii="黑体" w:eastAsia="黑体"/>
          <w:sz w:val="30"/>
          <w:szCs w:val="30"/>
        </w:rPr>
      </w:pPr>
    </w:p>
    <w:p>
      <w:pPr>
        <w:spacing w:line="360" w:lineRule="auto"/>
        <w:ind w:firstLine="539"/>
        <w:jc w:val="center"/>
        <w:rPr>
          <w:rFonts w:ascii="黑体" w:eastAsia="黑体"/>
          <w:b/>
          <w:sz w:val="30"/>
          <w:szCs w:val="30"/>
        </w:rPr>
      </w:pPr>
      <w:r>
        <w:rPr>
          <w:rFonts w:hint="eastAsia" w:ascii="黑体" w:eastAsia="黑体"/>
          <w:b/>
          <w:sz w:val="30"/>
          <w:szCs w:val="30"/>
        </w:rPr>
        <w:t>目</w:t>
      </w:r>
      <w:r>
        <w:rPr>
          <w:rFonts w:ascii="黑体" w:eastAsia="黑体"/>
          <w:b/>
          <w:sz w:val="30"/>
          <w:szCs w:val="30"/>
        </w:rPr>
        <w:t xml:space="preserve">    </w:t>
      </w:r>
      <w:r>
        <w:rPr>
          <w:rFonts w:hint="eastAsia" w:ascii="黑体" w:eastAsia="黑体"/>
          <w:b/>
          <w:sz w:val="30"/>
          <w:szCs w:val="30"/>
        </w:rPr>
        <w:t>录</w:t>
      </w:r>
    </w:p>
    <w:p>
      <w:pPr>
        <w:pStyle w:val="11"/>
        <w:tabs>
          <w:tab w:val="right" w:leader="dot" w:pos="9354"/>
          <w:tab w:val="clear" w:pos="735"/>
          <w:tab w:val="clear" w:pos="9356"/>
        </w:tabs>
        <w:spacing w:before="78" w:after="78"/>
      </w:pPr>
      <w:r>
        <w:rPr>
          <w:b/>
          <w:bCs/>
          <w:caps/>
          <w:sz w:val="24"/>
          <w:szCs w:val="24"/>
        </w:rPr>
        <w:fldChar w:fldCharType="begin"/>
      </w:r>
      <w:r>
        <w:rPr>
          <w:b/>
          <w:bCs/>
          <w:caps/>
          <w:sz w:val="24"/>
          <w:szCs w:val="24"/>
        </w:rPr>
        <w:instrText xml:space="preserve"> TOC \o "1-3" \h \z \u </w:instrText>
      </w:r>
      <w:r>
        <w:rPr>
          <w:b/>
          <w:bCs/>
          <w:caps/>
          <w:sz w:val="24"/>
          <w:szCs w:val="24"/>
        </w:rPr>
        <w:fldChar w:fldCharType="separate"/>
      </w:r>
      <w:r>
        <w:fldChar w:fldCharType="begin"/>
      </w:r>
      <w:r>
        <w:instrText xml:space="preserve"> HYPERLINK \l "_Toc23651" </w:instrText>
      </w:r>
      <w:r>
        <w:fldChar w:fldCharType="separate"/>
      </w:r>
      <w:r>
        <w:t>1.</w:t>
      </w:r>
      <w:r>
        <w:rPr>
          <w:rFonts w:hint="eastAsia"/>
        </w:rPr>
        <w:t>总则</w:t>
      </w:r>
      <w:r>
        <w:tab/>
      </w:r>
      <w:r>
        <w:fldChar w:fldCharType="begin"/>
      </w:r>
      <w:r>
        <w:instrText xml:space="preserve"> PAGEREF _Toc23651 </w:instrText>
      </w:r>
      <w:r>
        <w:fldChar w:fldCharType="separate"/>
      </w:r>
      <w:r>
        <w:t>1</w:t>
      </w:r>
      <w:r>
        <w:fldChar w:fldCharType="end"/>
      </w:r>
      <w:r>
        <w:fldChar w:fldCharType="end"/>
      </w:r>
    </w:p>
    <w:p>
      <w:pPr>
        <w:pStyle w:val="11"/>
        <w:tabs>
          <w:tab w:val="right" w:leader="dot" w:pos="9354"/>
          <w:tab w:val="clear" w:pos="735"/>
          <w:tab w:val="clear" w:pos="9356"/>
        </w:tabs>
        <w:spacing w:before="78" w:after="78"/>
      </w:pPr>
      <w:r>
        <w:fldChar w:fldCharType="begin"/>
      </w:r>
      <w:r>
        <w:instrText xml:space="preserve"> HYPERLINK \l "_Toc20605" </w:instrText>
      </w:r>
      <w:r>
        <w:fldChar w:fldCharType="separate"/>
      </w:r>
      <w:r>
        <w:t>2.</w:t>
      </w:r>
      <w:r>
        <w:rPr>
          <w:rFonts w:hint="eastAsia"/>
        </w:rPr>
        <w:t>工程环境</w:t>
      </w:r>
      <w:r>
        <w:tab/>
      </w:r>
      <w:r>
        <w:fldChar w:fldCharType="begin"/>
      </w:r>
      <w:r>
        <w:instrText xml:space="preserve"> PAGEREF _Toc20605 </w:instrText>
      </w:r>
      <w:r>
        <w:fldChar w:fldCharType="separate"/>
      </w:r>
      <w:r>
        <w:t>1</w:t>
      </w:r>
      <w:r>
        <w:fldChar w:fldCharType="end"/>
      </w:r>
      <w:r>
        <w:fldChar w:fldCharType="end"/>
      </w:r>
    </w:p>
    <w:p>
      <w:pPr>
        <w:pStyle w:val="11"/>
        <w:tabs>
          <w:tab w:val="right" w:leader="dot" w:pos="9354"/>
          <w:tab w:val="clear" w:pos="735"/>
          <w:tab w:val="clear" w:pos="9356"/>
        </w:tabs>
        <w:spacing w:before="78" w:after="78"/>
      </w:pPr>
      <w:r>
        <w:fldChar w:fldCharType="begin"/>
      </w:r>
      <w:r>
        <w:instrText xml:space="preserve"> HYPERLINK \l "_Toc3840" </w:instrText>
      </w:r>
      <w:r>
        <w:fldChar w:fldCharType="separate"/>
      </w:r>
      <w:r>
        <w:t>3.</w:t>
      </w:r>
      <w:r>
        <w:rPr>
          <w:rFonts w:hint="eastAsia"/>
        </w:rPr>
        <w:t>工程概况</w:t>
      </w:r>
      <w:r>
        <w:tab/>
      </w:r>
      <w:r>
        <w:fldChar w:fldCharType="begin"/>
      </w:r>
      <w:r>
        <w:instrText xml:space="preserve"> PAGEREF _Toc3840 </w:instrText>
      </w:r>
      <w:r>
        <w:fldChar w:fldCharType="separate"/>
      </w:r>
      <w:r>
        <w:t>2</w:t>
      </w:r>
      <w:r>
        <w:fldChar w:fldCharType="end"/>
      </w:r>
      <w:r>
        <w:fldChar w:fldCharType="end"/>
      </w:r>
    </w:p>
    <w:p>
      <w:pPr>
        <w:pStyle w:val="11"/>
        <w:tabs>
          <w:tab w:val="right" w:leader="dot" w:pos="9354"/>
          <w:tab w:val="clear" w:pos="735"/>
          <w:tab w:val="clear" w:pos="9356"/>
        </w:tabs>
        <w:spacing w:before="78" w:after="78"/>
      </w:pPr>
      <w:r>
        <w:fldChar w:fldCharType="begin"/>
      </w:r>
      <w:r>
        <w:instrText xml:space="preserve"> HYPERLINK \l "_Toc9141" </w:instrText>
      </w:r>
      <w:r>
        <w:fldChar w:fldCharType="separate"/>
      </w:r>
      <w:r>
        <w:t>4.</w:t>
      </w:r>
      <w:r>
        <w:rPr>
          <w:rFonts w:hint="eastAsia"/>
        </w:rPr>
        <w:t>工程规范</w:t>
      </w:r>
      <w:r>
        <w:tab/>
      </w:r>
      <w:r>
        <w:fldChar w:fldCharType="begin"/>
      </w:r>
      <w:r>
        <w:instrText xml:space="preserve"> PAGEREF _Toc9141 </w:instrText>
      </w:r>
      <w:r>
        <w:fldChar w:fldCharType="separate"/>
      </w:r>
      <w:r>
        <w:t>3</w:t>
      </w:r>
      <w:r>
        <w:fldChar w:fldCharType="end"/>
      </w:r>
      <w:r>
        <w:fldChar w:fldCharType="end"/>
      </w:r>
    </w:p>
    <w:p>
      <w:pPr>
        <w:pStyle w:val="11"/>
        <w:tabs>
          <w:tab w:val="right" w:leader="dot" w:pos="9354"/>
          <w:tab w:val="clear" w:pos="735"/>
          <w:tab w:val="clear" w:pos="9356"/>
        </w:tabs>
        <w:spacing w:before="78" w:after="78"/>
      </w:pPr>
      <w:r>
        <w:fldChar w:fldCharType="begin"/>
      </w:r>
      <w:r>
        <w:instrText xml:space="preserve"> HYPERLINK \l "_Toc21193" </w:instrText>
      </w:r>
      <w:r>
        <w:fldChar w:fldCharType="separate"/>
      </w:r>
      <w:r>
        <w:t>5.</w:t>
      </w:r>
      <w:r>
        <w:rPr>
          <w:rFonts w:hint="eastAsia"/>
        </w:rPr>
        <w:t>技术标准</w:t>
      </w:r>
      <w:r>
        <w:tab/>
      </w:r>
      <w:r>
        <w:fldChar w:fldCharType="begin"/>
      </w:r>
      <w:r>
        <w:instrText xml:space="preserve"> PAGEREF _Toc21193 </w:instrText>
      </w:r>
      <w:r>
        <w:fldChar w:fldCharType="separate"/>
      </w:r>
      <w:r>
        <w:t>3</w:t>
      </w:r>
      <w:r>
        <w:fldChar w:fldCharType="end"/>
      </w:r>
      <w:r>
        <w:fldChar w:fldCharType="end"/>
      </w:r>
    </w:p>
    <w:p>
      <w:pPr>
        <w:pStyle w:val="11"/>
        <w:tabs>
          <w:tab w:val="right" w:leader="dot" w:pos="9354"/>
          <w:tab w:val="clear" w:pos="735"/>
          <w:tab w:val="clear" w:pos="9356"/>
        </w:tabs>
        <w:spacing w:before="78" w:after="78"/>
      </w:pPr>
      <w:r>
        <w:fldChar w:fldCharType="begin"/>
      </w:r>
      <w:r>
        <w:instrText xml:space="preserve"> HYPERLINK \l "_Toc9250" </w:instrText>
      </w:r>
      <w:r>
        <w:fldChar w:fldCharType="separate"/>
      </w:r>
      <w:r>
        <w:t>6.</w:t>
      </w:r>
      <w:r>
        <w:rPr>
          <w:rFonts w:hint="eastAsia"/>
        </w:rPr>
        <w:t>质量保证和安健环要求</w:t>
      </w:r>
      <w:r>
        <w:tab/>
      </w:r>
      <w:r>
        <w:fldChar w:fldCharType="begin"/>
      </w:r>
      <w:r>
        <w:instrText xml:space="preserve"> PAGEREF _Toc9250 </w:instrText>
      </w:r>
      <w:r>
        <w:fldChar w:fldCharType="separate"/>
      </w:r>
      <w:r>
        <w:t>3</w:t>
      </w:r>
      <w:r>
        <w:fldChar w:fldCharType="end"/>
      </w:r>
      <w:r>
        <w:fldChar w:fldCharType="end"/>
      </w:r>
    </w:p>
    <w:p>
      <w:pPr>
        <w:pStyle w:val="11"/>
        <w:tabs>
          <w:tab w:val="right" w:leader="dot" w:pos="9354"/>
          <w:tab w:val="clear" w:pos="735"/>
          <w:tab w:val="clear" w:pos="9356"/>
        </w:tabs>
        <w:spacing w:before="78" w:after="78"/>
      </w:pPr>
      <w:r>
        <w:fldChar w:fldCharType="begin"/>
      </w:r>
      <w:r>
        <w:instrText xml:space="preserve"> HYPERLINK \l "_Toc25034" </w:instrText>
      </w:r>
      <w:r>
        <w:fldChar w:fldCharType="separate"/>
      </w:r>
      <w:r>
        <w:t>7.</w:t>
      </w:r>
      <w:r>
        <w:rPr>
          <w:rFonts w:hint="eastAsia"/>
        </w:rPr>
        <w:t>分工界限</w:t>
      </w:r>
      <w:r>
        <w:tab/>
      </w:r>
      <w:r>
        <w:fldChar w:fldCharType="begin"/>
      </w:r>
      <w:r>
        <w:instrText xml:space="preserve"> PAGEREF _Toc25034 </w:instrText>
      </w:r>
      <w:r>
        <w:fldChar w:fldCharType="separate"/>
      </w:r>
      <w:r>
        <w:t>4</w:t>
      </w:r>
      <w:r>
        <w:fldChar w:fldCharType="end"/>
      </w:r>
      <w:r>
        <w:fldChar w:fldCharType="end"/>
      </w:r>
    </w:p>
    <w:p>
      <w:pPr>
        <w:pStyle w:val="11"/>
        <w:tabs>
          <w:tab w:val="right" w:leader="dot" w:pos="9354"/>
          <w:tab w:val="clear" w:pos="735"/>
          <w:tab w:val="clear" w:pos="9356"/>
        </w:tabs>
        <w:spacing w:before="78" w:after="78"/>
      </w:pPr>
      <w:r>
        <w:fldChar w:fldCharType="begin"/>
      </w:r>
      <w:r>
        <w:instrText xml:space="preserve"> HYPERLINK \l "_Toc27498" </w:instrText>
      </w:r>
      <w:r>
        <w:fldChar w:fldCharType="separate"/>
      </w:r>
      <w:r>
        <w:t>8.</w:t>
      </w:r>
      <w:r>
        <w:rPr>
          <w:rFonts w:hint="eastAsia"/>
        </w:rPr>
        <w:t>竣工资料</w:t>
      </w:r>
      <w:r>
        <w:tab/>
      </w:r>
      <w:r>
        <w:fldChar w:fldCharType="begin"/>
      </w:r>
      <w:r>
        <w:instrText xml:space="preserve"> PAGEREF _Toc27498 </w:instrText>
      </w:r>
      <w:r>
        <w:fldChar w:fldCharType="separate"/>
      </w:r>
      <w:r>
        <w:t>4</w:t>
      </w:r>
      <w:r>
        <w:fldChar w:fldCharType="end"/>
      </w:r>
      <w:r>
        <w:fldChar w:fldCharType="end"/>
      </w:r>
    </w:p>
    <w:p>
      <w:pPr>
        <w:pStyle w:val="11"/>
        <w:tabs>
          <w:tab w:val="right" w:leader="dot" w:pos="9354"/>
          <w:tab w:val="clear" w:pos="735"/>
          <w:tab w:val="clear" w:pos="9356"/>
        </w:tabs>
        <w:spacing w:before="78" w:after="78"/>
      </w:pPr>
      <w:r>
        <w:fldChar w:fldCharType="begin"/>
      </w:r>
      <w:r>
        <w:instrText xml:space="preserve"> HYPERLINK \l "_Toc16302" </w:instrText>
      </w:r>
      <w:r>
        <w:fldChar w:fldCharType="separate"/>
      </w:r>
      <w:r>
        <w:t>9.</w:t>
      </w:r>
      <w:r>
        <w:rPr>
          <w:rFonts w:hint="eastAsia"/>
        </w:rPr>
        <w:t>工程验收</w:t>
      </w:r>
      <w:r>
        <w:tab/>
      </w:r>
      <w:r>
        <w:fldChar w:fldCharType="begin"/>
      </w:r>
      <w:r>
        <w:instrText xml:space="preserve"> PAGEREF _Toc16302 </w:instrText>
      </w:r>
      <w:r>
        <w:fldChar w:fldCharType="separate"/>
      </w:r>
      <w:r>
        <w:t>5</w:t>
      </w:r>
      <w:r>
        <w:fldChar w:fldCharType="end"/>
      </w:r>
      <w:r>
        <w:fldChar w:fldCharType="end"/>
      </w:r>
    </w:p>
    <w:p>
      <w:pPr>
        <w:pStyle w:val="11"/>
        <w:tabs>
          <w:tab w:val="right" w:leader="dot" w:pos="9354"/>
          <w:tab w:val="clear" w:pos="735"/>
          <w:tab w:val="clear" w:pos="9356"/>
        </w:tabs>
        <w:spacing w:before="78" w:after="78"/>
      </w:pPr>
      <w:r>
        <w:fldChar w:fldCharType="begin"/>
      </w:r>
      <w:r>
        <w:instrText xml:space="preserve"> HYPERLINK \l "_Toc1192" </w:instrText>
      </w:r>
      <w:r>
        <w:fldChar w:fldCharType="separate"/>
      </w:r>
      <w:r>
        <w:rPr>
          <w:rFonts w:hint="eastAsia"/>
        </w:rPr>
        <w:t>10.质量要求及考核</w:t>
      </w:r>
      <w:r>
        <w:tab/>
      </w:r>
      <w:r>
        <w:fldChar w:fldCharType="begin"/>
      </w:r>
      <w:r>
        <w:instrText xml:space="preserve"> PAGEREF _Toc1192 </w:instrText>
      </w:r>
      <w:r>
        <w:fldChar w:fldCharType="separate"/>
      </w:r>
      <w:r>
        <w:t>5</w:t>
      </w:r>
      <w:r>
        <w:fldChar w:fldCharType="end"/>
      </w:r>
      <w:r>
        <w:fldChar w:fldCharType="end"/>
      </w:r>
    </w:p>
    <w:p>
      <w:pPr>
        <w:pStyle w:val="11"/>
        <w:tabs>
          <w:tab w:val="right" w:leader="dot" w:pos="9354"/>
          <w:tab w:val="clear" w:pos="735"/>
          <w:tab w:val="clear" w:pos="9356"/>
        </w:tabs>
        <w:spacing w:before="78" w:after="78"/>
      </w:pPr>
      <w:r>
        <w:fldChar w:fldCharType="begin"/>
      </w:r>
      <w:r>
        <w:instrText xml:space="preserve"> HYPERLINK \l "_Toc29140" </w:instrText>
      </w:r>
      <w:r>
        <w:fldChar w:fldCharType="separate"/>
      </w:r>
      <w:r>
        <w:t>1</w:t>
      </w:r>
      <w:r>
        <w:rPr>
          <w:rFonts w:hint="eastAsia"/>
        </w:rPr>
        <w:t>1</w:t>
      </w:r>
      <w:r>
        <w:t>.</w:t>
      </w:r>
      <w:r>
        <w:rPr>
          <w:rFonts w:hint="eastAsia"/>
        </w:rPr>
        <w:t>投标附件</w:t>
      </w:r>
      <w:r>
        <w:tab/>
      </w:r>
      <w:r>
        <w:fldChar w:fldCharType="begin"/>
      </w:r>
      <w:r>
        <w:instrText xml:space="preserve"> PAGEREF _Toc29140 </w:instrText>
      </w:r>
      <w:r>
        <w:fldChar w:fldCharType="separate"/>
      </w:r>
      <w:r>
        <w:t>8</w:t>
      </w:r>
      <w:r>
        <w:fldChar w:fldCharType="end"/>
      </w:r>
      <w:r>
        <w:fldChar w:fldCharType="end"/>
      </w:r>
    </w:p>
    <w:p>
      <w:pPr>
        <w:spacing w:line="360" w:lineRule="auto"/>
        <w:ind w:firstLine="539"/>
        <w:rPr>
          <w:sz w:val="24"/>
        </w:rPr>
      </w:pPr>
      <w:r>
        <w:rPr>
          <w:bCs/>
          <w:caps/>
        </w:rPr>
        <w:fldChar w:fldCharType="end"/>
      </w:r>
    </w:p>
    <w:p>
      <w:pPr>
        <w:spacing w:line="360" w:lineRule="auto"/>
        <w:sectPr>
          <w:headerReference r:id="rId7" w:type="default"/>
          <w:footerReference r:id="rId8" w:type="default"/>
          <w:pgSz w:w="11906" w:h="16838"/>
          <w:pgMar w:top="1418" w:right="1134" w:bottom="1134" w:left="1418" w:header="851" w:footer="992" w:gutter="0"/>
          <w:pgNumType w:start="1"/>
          <w:cols w:space="425" w:num="1"/>
          <w:docGrid w:type="lines" w:linePitch="312" w:charSpace="0"/>
        </w:sectPr>
      </w:pPr>
    </w:p>
    <w:p>
      <w:pPr>
        <w:pStyle w:val="2"/>
        <w:spacing w:before="312" w:after="156"/>
      </w:pPr>
      <w:bookmarkStart w:id="0" w:name="_Toc23651"/>
      <w:r>
        <w:t>1.</w:t>
      </w:r>
      <w:r>
        <w:rPr>
          <w:rFonts w:hint="eastAsia"/>
        </w:rPr>
        <w:t>总则</w:t>
      </w:r>
      <w:bookmarkEnd w:id="0"/>
    </w:p>
    <w:p>
      <w:pPr>
        <w:spacing w:line="300" w:lineRule="auto"/>
        <w:ind w:firstLine="539"/>
        <w:rPr>
          <w:rFonts w:ascii="宋体"/>
          <w:szCs w:val="21"/>
        </w:rPr>
      </w:pPr>
      <w:r>
        <w:rPr>
          <w:rFonts w:ascii="宋体" w:hAnsi="宋体"/>
          <w:szCs w:val="21"/>
        </w:rPr>
        <w:t>1.1</w:t>
      </w:r>
      <w:r>
        <w:rPr>
          <w:rFonts w:hint="eastAsia" w:ascii="宋体" w:hAnsi="宋体"/>
          <w:szCs w:val="21"/>
        </w:rPr>
        <w:t>本技术规范书用于甲湖湾电厂</w:t>
      </w:r>
      <w:r>
        <w:rPr>
          <w:rFonts w:hint="eastAsia" w:ascii="宋体" w:hAnsi="宋体"/>
          <w:b w:val="0"/>
          <w:bCs/>
          <w:szCs w:val="21"/>
          <w:u w:val="single"/>
        </w:rPr>
        <w:t>2024年度一期1、2号锅炉受热面管状态检验及</w:t>
      </w:r>
      <w:r>
        <w:rPr>
          <w:rFonts w:ascii="宋体" w:hAnsi="宋体"/>
          <w:b w:val="0"/>
          <w:bCs/>
          <w:szCs w:val="21"/>
          <w:u w:val="single"/>
        </w:rPr>
        <w:t>评价</w:t>
      </w:r>
      <w:r>
        <w:rPr>
          <w:rFonts w:hint="eastAsia" w:ascii="宋体" w:hAnsi="宋体"/>
          <w:szCs w:val="21"/>
          <w:u w:val="single"/>
        </w:rPr>
        <w:t>（外委项目）</w:t>
      </w:r>
      <w:r>
        <w:rPr>
          <w:rFonts w:hint="eastAsia" w:ascii="宋体" w:hAnsi="宋体"/>
          <w:szCs w:val="21"/>
        </w:rPr>
        <w:t>工程，它提出了该工程的检验范围、检验设备、检验过程等方面的技术要求。</w:t>
      </w:r>
    </w:p>
    <w:p>
      <w:pPr>
        <w:spacing w:line="300" w:lineRule="auto"/>
        <w:ind w:firstLine="539"/>
        <w:rPr>
          <w:rFonts w:ascii="宋体"/>
          <w:szCs w:val="21"/>
        </w:rPr>
      </w:pPr>
      <w:r>
        <w:rPr>
          <w:rFonts w:ascii="宋体" w:hAnsi="宋体"/>
          <w:szCs w:val="21"/>
        </w:rPr>
        <w:t>1.2</w:t>
      </w:r>
      <w:r>
        <w:rPr>
          <w:rFonts w:hint="eastAsia" w:ascii="宋体" w:hAnsi="宋体"/>
          <w:szCs w:val="21"/>
        </w:rPr>
        <w:t>本技术规范书提出了最低限度的技术要求，并未对一切技术细节做出规定，也未充分引述有关标准和规范的条文，投标人应保证提供符合本技术规范书和最新工业标准的优质</w:t>
      </w:r>
      <w:r>
        <w:rPr>
          <w:rFonts w:hint="eastAsia" w:ascii="宋体" w:hAnsi="宋体"/>
          <w:color w:val="000000" w:themeColor="text1"/>
          <w:szCs w:val="21"/>
          <w14:textFill>
            <w14:solidFill>
              <w14:schemeClr w14:val="tx1"/>
            </w14:solidFill>
          </w14:textFill>
        </w:rPr>
        <w:t>服务</w:t>
      </w:r>
      <w:r>
        <w:rPr>
          <w:rFonts w:hint="eastAsia" w:ascii="宋体" w:hAnsi="宋体"/>
          <w:szCs w:val="21"/>
        </w:rPr>
        <w:t>。</w:t>
      </w:r>
    </w:p>
    <w:p>
      <w:pPr>
        <w:spacing w:line="300" w:lineRule="auto"/>
        <w:ind w:firstLine="539"/>
        <w:rPr>
          <w:rFonts w:ascii="宋体"/>
          <w:szCs w:val="21"/>
        </w:rPr>
      </w:pPr>
      <w:r>
        <w:rPr>
          <w:rFonts w:ascii="宋体" w:hAnsi="宋体"/>
          <w:szCs w:val="21"/>
        </w:rPr>
        <w:t>1.3</w:t>
      </w:r>
      <w:r>
        <w:rPr>
          <w:rFonts w:hint="eastAsia" w:ascii="宋体" w:hAnsi="宋体"/>
          <w:szCs w:val="21"/>
        </w:rPr>
        <w:t>如投标人没有以书面形式对本技术规范书的条文提出异议，那么招标人认为投标人提供的服务完全满足技术规范书的要求，如果有异议，应以书面形式明确提出，在征得招标人同意后，可对有关文件进行修改，如招标人不同意修改，仍以招标意见为准。</w:t>
      </w:r>
    </w:p>
    <w:p>
      <w:pPr>
        <w:spacing w:line="300" w:lineRule="auto"/>
        <w:ind w:firstLine="539"/>
        <w:rPr>
          <w:rFonts w:ascii="宋体"/>
          <w:szCs w:val="21"/>
        </w:rPr>
      </w:pPr>
      <w:r>
        <w:rPr>
          <w:rFonts w:ascii="宋体" w:hAnsi="宋体"/>
          <w:szCs w:val="21"/>
        </w:rPr>
        <w:t>1.4</w:t>
      </w:r>
      <w:r>
        <w:rPr>
          <w:rFonts w:hint="eastAsia" w:ascii="宋体" w:hAnsi="宋体"/>
          <w:szCs w:val="21"/>
        </w:rPr>
        <w:t>在签订合同之后，招标人保留对本技术规范书提出的补充要求和修改的权利，投标人应承诺予以配合，如提出修改，具体项目和条件由供需双方商定。</w:t>
      </w:r>
    </w:p>
    <w:p>
      <w:pPr>
        <w:spacing w:line="300" w:lineRule="auto"/>
        <w:ind w:firstLine="539"/>
        <w:rPr>
          <w:rFonts w:ascii="宋体"/>
          <w:szCs w:val="21"/>
        </w:rPr>
      </w:pPr>
      <w:r>
        <w:rPr>
          <w:rFonts w:ascii="宋体" w:hAnsi="宋体"/>
          <w:szCs w:val="21"/>
        </w:rPr>
        <w:t>1.5</w:t>
      </w:r>
      <w:r>
        <w:rPr>
          <w:rFonts w:hint="eastAsia" w:ascii="宋体" w:hAnsi="宋体"/>
          <w:szCs w:val="21"/>
        </w:rPr>
        <w:t>本技术规范书经供需双方认可后作为订货合同的附件，与合同正文具有同等效力。</w:t>
      </w:r>
    </w:p>
    <w:p>
      <w:pPr>
        <w:pStyle w:val="2"/>
        <w:spacing w:before="312" w:after="156"/>
      </w:pPr>
      <w:bookmarkStart w:id="1" w:name="_Toc20605"/>
      <w:r>
        <w:t>2.</w:t>
      </w:r>
      <w:r>
        <w:rPr>
          <w:rFonts w:hint="eastAsia"/>
        </w:rPr>
        <w:t>工程环境</w:t>
      </w:r>
      <w:bookmarkEnd w:id="1"/>
    </w:p>
    <w:p>
      <w:pPr>
        <w:spacing w:line="300" w:lineRule="auto"/>
        <w:ind w:firstLine="539"/>
        <w:rPr>
          <w:rFonts w:ascii="宋体"/>
          <w:szCs w:val="21"/>
        </w:rPr>
      </w:pPr>
      <w:r>
        <w:rPr>
          <w:rFonts w:ascii="宋体" w:hAnsi="宋体"/>
          <w:szCs w:val="21"/>
        </w:rPr>
        <w:t>2.1</w:t>
      </w:r>
      <w:r>
        <w:rPr>
          <w:rFonts w:hint="eastAsia" w:ascii="宋体" w:hAnsi="宋体"/>
          <w:szCs w:val="21"/>
        </w:rPr>
        <w:t>施工地点</w:t>
      </w:r>
    </w:p>
    <w:p>
      <w:pPr>
        <w:spacing w:line="300" w:lineRule="auto"/>
        <w:ind w:firstLine="420" w:firstLineChars="200"/>
        <w:rPr>
          <w:rFonts w:ascii="宋体"/>
          <w:szCs w:val="21"/>
        </w:rPr>
      </w:pPr>
      <w:r>
        <w:rPr>
          <w:rFonts w:hint="eastAsia" w:ascii="宋体" w:hAnsi="宋体"/>
          <w:szCs w:val="21"/>
        </w:rPr>
        <w:t>甲湖湾电厂一期1、2号机组锅炉本体检修现场。</w:t>
      </w:r>
    </w:p>
    <w:p>
      <w:pPr>
        <w:spacing w:line="300" w:lineRule="auto"/>
        <w:ind w:firstLine="539"/>
        <w:rPr>
          <w:rFonts w:ascii="宋体"/>
          <w:szCs w:val="21"/>
        </w:rPr>
      </w:pPr>
      <w:r>
        <w:rPr>
          <w:rFonts w:ascii="宋体" w:hAnsi="宋体"/>
          <w:szCs w:val="21"/>
        </w:rPr>
        <w:t>2.2</w:t>
      </w:r>
      <w:r>
        <w:rPr>
          <w:rFonts w:hint="eastAsia" w:ascii="宋体" w:hAnsi="宋体"/>
          <w:szCs w:val="21"/>
        </w:rPr>
        <w:t>施工时间</w:t>
      </w:r>
    </w:p>
    <w:p>
      <w:pPr>
        <w:spacing w:line="300" w:lineRule="auto"/>
        <w:ind w:firstLine="420" w:firstLineChars="200"/>
        <w:rPr>
          <w:rFonts w:ascii="宋体"/>
          <w:szCs w:val="21"/>
        </w:rPr>
      </w:pPr>
      <w:r>
        <w:rPr>
          <w:rFonts w:hint="eastAsia" w:ascii="宋体" w:hAnsi="宋体"/>
          <w:szCs w:val="21"/>
        </w:rPr>
        <w:t>2024年一期1、2号锅炉检修期间具备施工条件期间，具体以招标方通知为准，工期7个工作日。</w:t>
      </w:r>
    </w:p>
    <w:p>
      <w:pPr>
        <w:spacing w:line="300" w:lineRule="auto"/>
        <w:ind w:firstLine="539"/>
        <w:rPr>
          <w:rFonts w:ascii="宋体"/>
          <w:szCs w:val="21"/>
        </w:rPr>
      </w:pPr>
      <w:r>
        <w:rPr>
          <w:rFonts w:ascii="宋体" w:hAnsi="宋体"/>
          <w:szCs w:val="21"/>
        </w:rPr>
        <w:t>2.3</w:t>
      </w:r>
      <w:r>
        <w:rPr>
          <w:rFonts w:hint="eastAsia" w:ascii="宋体" w:hAnsi="宋体"/>
          <w:szCs w:val="21"/>
        </w:rPr>
        <w:t>环境因素</w:t>
      </w:r>
    </w:p>
    <w:p>
      <w:pPr>
        <w:adjustRightInd w:val="0"/>
        <w:snapToGrid w:val="0"/>
        <w:spacing w:line="360" w:lineRule="auto"/>
        <w:ind w:right="741" w:rightChars="353" w:firstLine="420" w:firstLineChars="200"/>
        <w:rPr>
          <w:rFonts w:ascii="宋体" w:hAnsi="宋体"/>
          <w:szCs w:val="21"/>
        </w:rPr>
      </w:pPr>
      <w:r>
        <w:rPr>
          <w:rFonts w:hint="eastAsia" w:ascii="宋体" w:hAnsi="宋体"/>
          <w:szCs w:val="21"/>
        </w:rPr>
        <w:t>广东陆丰甲湖湾</w:t>
      </w:r>
      <w:r>
        <w:rPr>
          <w:rFonts w:ascii="宋体" w:hAnsi="宋体"/>
          <w:szCs w:val="21"/>
        </w:rPr>
        <w:t>电厂厂址距陆丰市约40km，西距湖东镇约5.5 km，东北距甲子镇约8km，</w:t>
      </w:r>
      <w:r>
        <w:rPr>
          <w:rFonts w:hint="eastAsia" w:ascii="宋体" w:hAnsi="宋体"/>
          <w:szCs w:val="21"/>
        </w:rPr>
        <w:t>南面临南海。</w:t>
      </w:r>
      <w:r>
        <w:rPr>
          <w:rFonts w:ascii="宋体" w:hAnsi="宋体"/>
          <w:szCs w:val="21"/>
        </w:rPr>
        <w:t>厂址所处区域，盐雾腐蚀严重，</w:t>
      </w:r>
      <w:r>
        <w:rPr>
          <w:rFonts w:hint="eastAsia" w:ascii="宋体" w:hAnsi="宋体"/>
          <w:szCs w:val="21"/>
        </w:rPr>
        <w:t>施工单位所用工具</w:t>
      </w:r>
      <w:r>
        <w:rPr>
          <w:rFonts w:ascii="宋体" w:hAnsi="宋体"/>
          <w:szCs w:val="21"/>
        </w:rPr>
        <w:t>应能够抵抗海边盐雾等腐蚀性条件，保证正常存放、使用期间不受腐蚀。</w:t>
      </w:r>
    </w:p>
    <w:p>
      <w:pPr>
        <w:spacing w:line="360" w:lineRule="auto"/>
        <w:rPr>
          <w:rFonts w:ascii="宋体" w:hAnsi="宋体"/>
          <w:szCs w:val="21"/>
        </w:rPr>
      </w:pPr>
      <w:r>
        <w:rPr>
          <w:rFonts w:hint="eastAsia" w:ascii="宋体" w:hAnsi="宋体"/>
          <w:szCs w:val="21"/>
        </w:rPr>
        <w:t>2.3.1 厂区的岩土工程条件</w:t>
      </w:r>
    </w:p>
    <w:p>
      <w:pPr>
        <w:spacing w:line="360" w:lineRule="auto"/>
        <w:ind w:right="741" w:rightChars="353" w:firstLine="420" w:firstLineChars="200"/>
        <w:rPr>
          <w:rFonts w:ascii="宋体" w:hAnsi="宋体"/>
          <w:szCs w:val="21"/>
        </w:rPr>
      </w:pPr>
      <w:r>
        <w:rPr>
          <w:rFonts w:hint="eastAsia" w:ascii="宋体" w:hAnsi="宋体"/>
          <w:szCs w:val="21"/>
        </w:rPr>
        <w:t>厂址位于甲子港西面的海</w:t>
      </w:r>
      <w:r>
        <w:rPr>
          <w:rFonts w:ascii="宋体" w:hAnsi="宋体"/>
          <w:szCs w:val="21"/>
        </w:rPr>
        <w:t>岬</w:t>
      </w:r>
      <w:r>
        <w:rPr>
          <w:rFonts w:hint="eastAsia" w:ascii="宋体" w:hAnsi="宋体"/>
          <w:szCs w:val="21"/>
        </w:rPr>
        <w:t>山西侧，南面临南海。地貌单元主要为海积平原和海岸地貌两大类。海积平原地形</w:t>
      </w:r>
      <w:r>
        <w:rPr>
          <w:rFonts w:ascii="宋体" w:hAnsi="宋体"/>
          <w:szCs w:val="21"/>
        </w:rPr>
        <w:t>平坦宽阔，</w:t>
      </w:r>
      <w:r>
        <w:rPr>
          <w:rFonts w:hint="eastAsia" w:ascii="宋体" w:hAnsi="宋体"/>
          <w:szCs w:val="21"/>
        </w:rPr>
        <w:t>高程约4m～8m，</w:t>
      </w:r>
      <w:r>
        <w:rPr>
          <w:rFonts w:ascii="宋体" w:hAnsi="宋体"/>
          <w:szCs w:val="21"/>
        </w:rPr>
        <w:t>部分为</w:t>
      </w:r>
      <w:r>
        <w:rPr>
          <w:rFonts w:hint="eastAsia" w:ascii="宋体" w:hAnsi="宋体"/>
          <w:szCs w:val="21"/>
        </w:rPr>
        <w:t>小</w:t>
      </w:r>
      <w:r>
        <w:rPr>
          <w:rFonts w:ascii="宋体" w:hAnsi="宋体"/>
          <w:szCs w:val="21"/>
        </w:rPr>
        <w:t>沙丘</w:t>
      </w:r>
      <w:r>
        <w:rPr>
          <w:rFonts w:hint="eastAsia" w:ascii="宋体" w:hAnsi="宋体"/>
          <w:szCs w:val="21"/>
        </w:rPr>
        <w:t>。海岸地貌主要有沙堤、滩涂和水下岸坡。</w:t>
      </w:r>
      <w:r>
        <w:rPr>
          <w:rFonts w:ascii="宋体" w:hAnsi="宋体"/>
          <w:szCs w:val="21"/>
        </w:rPr>
        <w:t>临海地域多为海积砂堤</w:t>
      </w:r>
      <w:r>
        <w:rPr>
          <w:rFonts w:hint="eastAsia" w:ascii="宋体" w:hAnsi="宋体"/>
          <w:szCs w:val="21"/>
        </w:rPr>
        <w:t>、砂地和</w:t>
      </w:r>
      <w:r>
        <w:rPr>
          <w:rFonts w:ascii="宋体" w:hAnsi="宋体"/>
          <w:szCs w:val="21"/>
        </w:rPr>
        <w:t>浅滩</w:t>
      </w:r>
      <w:r>
        <w:rPr>
          <w:rFonts w:hint="eastAsia" w:ascii="宋体" w:hAnsi="宋体"/>
          <w:szCs w:val="21"/>
        </w:rPr>
        <w:t>，往外为海域。</w:t>
      </w:r>
      <w:r>
        <w:rPr>
          <w:rFonts w:ascii="宋体" w:hAnsi="宋体"/>
          <w:szCs w:val="21"/>
        </w:rPr>
        <w:t>砂堤内侧</w:t>
      </w:r>
      <w:r>
        <w:rPr>
          <w:rFonts w:hint="eastAsia" w:ascii="宋体" w:hAnsi="宋体"/>
          <w:szCs w:val="21"/>
        </w:rPr>
        <w:t>相对</w:t>
      </w:r>
      <w:r>
        <w:rPr>
          <w:rFonts w:ascii="宋体" w:hAnsi="宋体"/>
          <w:szCs w:val="21"/>
        </w:rPr>
        <w:t>低洼、平坦</w:t>
      </w:r>
      <w:r>
        <w:rPr>
          <w:rFonts w:hint="eastAsia" w:ascii="宋体" w:hAnsi="宋体"/>
          <w:szCs w:val="21"/>
        </w:rPr>
        <w:t>，局部分</w:t>
      </w:r>
      <w:r>
        <w:rPr>
          <w:rFonts w:ascii="宋体" w:hAnsi="宋体"/>
          <w:szCs w:val="21"/>
        </w:rPr>
        <w:t>布</w:t>
      </w:r>
      <w:r>
        <w:rPr>
          <w:rFonts w:hint="eastAsia" w:ascii="宋体" w:hAnsi="宋体"/>
          <w:szCs w:val="21"/>
        </w:rPr>
        <w:t>小</w:t>
      </w:r>
      <w:r>
        <w:rPr>
          <w:rFonts w:ascii="宋体" w:hAnsi="宋体"/>
          <w:szCs w:val="21"/>
        </w:rPr>
        <w:t>鱼塘</w:t>
      </w:r>
      <w:r>
        <w:rPr>
          <w:rFonts w:hint="eastAsia" w:ascii="宋体" w:hAnsi="宋体"/>
          <w:szCs w:val="21"/>
        </w:rPr>
        <w:t>、盐田等</w:t>
      </w:r>
      <w:r>
        <w:rPr>
          <w:rFonts w:ascii="宋体" w:hAnsi="宋体"/>
          <w:szCs w:val="21"/>
        </w:rPr>
        <w:t>。</w:t>
      </w:r>
    </w:p>
    <w:p>
      <w:pPr>
        <w:spacing w:line="360" w:lineRule="auto"/>
        <w:rPr>
          <w:rFonts w:ascii="宋体" w:hAnsi="宋体"/>
          <w:szCs w:val="21"/>
        </w:rPr>
      </w:pPr>
      <w:bookmarkStart w:id="2" w:name="_Toc30473146"/>
      <w:bookmarkStart w:id="3" w:name="_Toc30473476"/>
      <w:r>
        <w:rPr>
          <w:rFonts w:hint="eastAsia" w:ascii="宋体" w:hAnsi="宋体"/>
          <w:szCs w:val="21"/>
        </w:rPr>
        <w:t>2</w:t>
      </w:r>
      <w:r>
        <w:rPr>
          <w:rFonts w:ascii="宋体" w:hAnsi="宋体"/>
          <w:szCs w:val="21"/>
        </w:rPr>
        <w:t>.</w:t>
      </w:r>
      <w:r>
        <w:rPr>
          <w:rFonts w:hint="eastAsia" w:ascii="宋体" w:hAnsi="宋体"/>
          <w:szCs w:val="21"/>
        </w:rPr>
        <w:t>3.2</w:t>
      </w:r>
      <w:r>
        <w:rPr>
          <w:rFonts w:ascii="宋体" w:hAnsi="宋体"/>
          <w:szCs w:val="21"/>
        </w:rPr>
        <w:t xml:space="preserve"> </w:t>
      </w:r>
      <w:r>
        <w:rPr>
          <w:rFonts w:hint="eastAsia" w:ascii="宋体" w:hAnsi="宋体"/>
          <w:szCs w:val="21"/>
        </w:rPr>
        <w:t xml:space="preserve"> 地震烈度</w:t>
      </w:r>
      <w:bookmarkEnd w:id="2"/>
      <w:bookmarkEnd w:id="3"/>
      <w:r>
        <w:rPr>
          <w:rFonts w:hint="eastAsia" w:ascii="宋体" w:hAnsi="宋体"/>
          <w:szCs w:val="21"/>
        </w:rPr>
        <w:t>及主要设计参数</w:t>
      </w:r>
    </w:p>
    <w:p>
      <w:pPr>
        <w:spacing w:line="360" w:lineRule="auto"/>
        <w:ind w:right="741" w:rightChars="353" w:firstLine="420" w:firstLineChars="200"/>
        <w:rPr>
          <w:rFonts w:ascii="宋体" w:hAnsi="宋体"/>
          <w:szCs w:val="21"/>
        </w:rPr>
      </w:pPr>
      <w:r>
        <w:rPr>
          <w:rFonts w:ascii="宋体" w:hAnsi="宋体"/>
          <w:szCs w:val="21"/>
        </w:rPr>
        <w:t>根据《广东陆丰甲湖湾电厂工程场地地震安全性评价报告》，厂址场地</w:t>
      </w:r>
      <w:r>
        <w:rPr>
          <w:rFonts w:hint="eastAsia" w:ascii="宋体" w:hAnsi="宋体"/>
          <w:szCs w:val="21"/>
        </w:rPr>
        <w:t>50年超越概率10%的</w:t>
      </w:r>
      <w:r>
        <w:rPr>
          <w:rFonts w:ascii="宋体" w:hAnsi="宋体"/>
          <w:szCs w:val="21"/>
        </w:rPr>
        <w:t>地震动峰值加速度为0.1</w:t>
      </w:r>
      <w:r>
        <w:rPr>
          <w:rFonts w:hint="eastAsia" w:ascii="宋体" w:hAnsi="宋体"/>
          <w:szCs w:val="21"/>
        </w:rPr>
        <w:t>17</w:t>
      </w:r>
      <w:r>
        <w:rPr>
          <w:rFonts w:ascii="宋体" w:hAnsi="宋体"/>
          <w:szCs w:val="21"/>
        </w:rPr>
        <w:t>g，对应的抗震设防烈度为Ⅶ度；本工程主要建</w:t>
      </w:r>
      <w:r>
        <w:rPr>
          <w:rFonts w:hint="eastAsia" w:ascii="宋体" w:hAnsi="宋体"/>
          <w:szCs w:val="21"/>
        </w:rPr>
        <w:t>(</w:t>
      </w:r>
      <w:r>
        <w:rPr>
          <w:rFonts w:ascii="宋体" w:hAnsi="宋体"/>
          <w:szCs w:val="21"/>
        </w:rPr>
        <w:t>构</w:t>
      </w:r>
      <w:r>
        <w:rPr>
          <w:rFonts w:hint="eastAsia" w:ascii="宋体" w:hAnsi="宋体"/>
          <w:szCs w:val="21"/>
        </w:rPr>
        <w:t>)</w:t>
      </w:r>
      <w:r>
        <w:rPr>
          <w:rFonts w:ascii="宋体" w:hAnsi="宋体"/>
          <w:szCs w:val="21"/>
        </w:rPr>
        <w:t>筑物抗震措施按</w:t>
      </w:r>
      <w:r>
        <w:rPr>
          <w:rFonts w:hint="eastAsia" w:ascii="宋体" w:hAnsi="宋体"/>
          <w:szCs w:val="21"/>
        </w:rPr>
        <w:t>8</w:t>
      </w:r>
      <w:r>
        <w:rPr>
          <w:rFonts w:ascii="宋体" w:hAnsi="宋体"/>
          <w:szCs w:val="21"/>
        </w:rPr>
        <w:t>度设防</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 xml:space="preserve">基本风压：         </w:t>
      </w:r>
      <w:r>
        <w:rPr>
          <w:rFonts w:hint="eastAsia" w:ascii="宋体" w:hAnsi="宋体"/>
          <w:szCs w:val="21"/>
        </w:rPr>
        <w:tab/>
      </w:r>
      <w:r>
        <w:rPr>
          <w:rFonts w:ascii="宋体" w:hAnsi="宋体"/>
          <w:szCs w:val="21"/>
        </w:rPr>
        <w:t>0.</w:t>
      </w:r>
      <w:r>
        <w:rPr>
          <w:rFonts w:hint="eastAsia" w:ascii="宋体" w:hAnsi="宋体"/>
          <w:szCs w:val="21"/>
        </w:rPr>
        <w:t>9</w:t>
      </w:r>
      <w:r>
        <w:rPr>
          <w:rFonts w:ascii="宋体" w:hAnsi="宋体"/>
          <w:szCs w:val="21"/>
        </w:rPr>
        <w:t>kN/m2(50年一遇)</w:t>
      </w:r>
      <w:r>
        <w:rPr>
          <w:rFonts w:hint="eastAsia" w:ascii="宋体" w:hAnsi="宋体"/>
          <w:szCs w:val="21"/>
        </w:rPr>
        <w:t xml:space="preserve"> </w:t>
      </w:r>
      <w:r>
        <w:rPr>
          <w:rFonts w:ascii="宋体" w:hAnsi="宋体"/>
          <w:szCs w:val="21"/>
        </w:rPr>
        <w:t>；1.00 kN/m2(100年一遇)</w:t>
      </w:r>
    </w:p>
    <w:p>
      <w:pPr>
        <w:spacing w:line="360" w:lineRule="auto"/>
        <w:ind w:firstLine="420" w:firstLineChars="200"/>
        <w:rPr>
          <w:rFonts w:ascii="宋体" w:hAnsi="宋体"/>
          <w:szCs w:val="21"/>
        </w:rPr>
      </w:pPr>
      <w:r>
        <w:rPr>
          <w:rFonts w:ascii="宋体" w:hAnsi="宋体"/>
          <w:szCs w:val="21"/>
        </w:rPr>
        <w:t xml:space="preserve">地面粗糙度：       </w:t>
      </w:r>
      <w:r>
        <w:rPr>
          <w:rFonts w:hint="eastAsia" w:ascii="宋体" w:hAnsi="宋体"/>
          <w:szCs w:val="21"/>
        </w:rPr>
        <w:tab/>
      </w:r>
      <w:r>
        <w:rPr>
          <w:rFonts w:ascii="宋体" w:hAnsi="宋体"/>
          <w:szCs w:val="21"/>
        </w:rPr>
        <w:t>A类</w:t>
      </w:r>
    </w:p>
    <w:p>
      <w:pPr>
        <w:spacing w:line="360" w:lineRule="auto"/>
        <w:ind w:firstLine="420" w:firstLineChars="200"/>
        <w:rPr>
          <w:rFonts w:ascii="宋体" w:hAnsi="宋体"/>
          <w:szCs w:val="21"/>
        </w:rPr>
      </w:pPr>
      <w:r>
        <w:rPr>
          <w:rFonts w:ascii="宋体" w:hAnsi="宋体"/>
          <w:szCs w:val="21"/>
        </w:rPr>
        <w:t xml:space="preserve">建筑场地类别：    </w:t>
      </w:r>
      <w:r>
        <w:rPr>
          <w:rFonts w:hint="eastAsia" w:ascii="宋体" w:hAnsi="宋体"/>
          <w:szCs w:val="21"/>
        </w:rPr>
        <w:tab/>
      </w:r>
      <w:r>
        <w:rPr>
          <w:rFonts w:ascii="宋体" w:hAnsi="宋体"/>
          <w:szCs w:val="21"/>
        </w:rPr>
        <w:t>II类</w:t>
      </w:r>
    </w:p>
    <w:p>
      <w:pPr>
        <w:spacing w:line="360" w:lineRule="auto"/>
        <w:rPr>
          <w:rFonts w:ascii="宋体" w:hAnsi="宋体"/>
          <w:szCs w:val="21"/>
        </w:rPr>
      </w:pPr>
      <w:bookmarkStart w:id="4" w:name="_Toc30473147"/>
      <w:bookmarkStart w:id="5" w:name="_Toc30473477"/>
      <w:r>
        <w:rPr>
          <w:rFonts w:hint="eastAsia" w:ascii="宋体" w:hAnsi="宋体"/>
          <w:szCs w:val="21"/>
        </w:rPr>
        <w:t>2</w:t>
      </w:r>
      <w:r>
        <w:rPr>
          <w:rFonts w:ascii="宋体" w:hAnsi="宋体"/>
          <w:szCs w:val="21"/>
        </w:rPr>
        <w:t>.</w:t>
      </w:r>
      <w:r>
        <w:rPr>
          <w:rFonts w:hint="eastAsia" w:ascii="宋体" w:hAnsi="宋体"/>
          <w:szCs w:val="21"/>
        </w:rPr>
        <w:t>3.4</w:t>
      </w:r>
      <w:r>
        <w:rPr>
          <w:rFonts w:ascii="宋体" w:hAnsi="宋体"/>
          <w:szCs w:val="21"/>
        </w:rPr>
        <w:t xml:space="preserve"> </w:t>
      </w:r>
      <w:r>
        <w:rPr>
          <w:rFonts w:hint="eastAsia" w:ascii="宋体" w:hAnsi="宋体"/>
          <w:szCs w:val="21"/>
        </w:rPr>
        <w:t xml:space="preserve"> 运输</w:t>
      </w:r>
      <w:bookmarkEnd w:id="4"/>
      <w:bookmarkEnd w:id="5"/>
    </w:p>
    <w:p>
      <w:pPr>
        <w:spacing w:line="360" w:lineRule="auto"/>
        <w:rPr>
          <w:rFonts w:ascii="宋体" w:hAnsi="宋体"/>
          <w:szCs w:val="21"/>
        </w:rPr>
      </w:pPr>
      <w:r>
        <w:rPr>
          <w:rFonts w:hint="eastAsia" w:ascii="宋体" w:hAnsi="宋体"/>
          <w:szCs w:val="21"/>
        </w:rPr>
        <w:t>2.3.5陆路交通</w:t>
      </w:r>
    </w:p>
    <w:p>
      <w:pPr>
        <w:spacing w:line="360" w:lineRule="auto"/>
        <w:ind w:right="741" w:rightChars="353" w:firstLine="420" w:firstLineChars="200"/>
        <w:rPr>
          <w:rFonts w:ascii="宋体" w:hAnsi="宋体"/>
          <w:szCs w:val="21"/>
        </w:rPr>
      </w:pPr>
      <w:r>
        <w:rPr>
          <w:rFonts w:ascii="宋体" w:hAnsi="宋体"/>
          <w:szCs w:val="21"/>
        </w:rPr>
        <w:t>陆丰市共有公路93条，其中国道</w:t>
      </w:r>
      <w:r>
        <w:rPr>
          <w:rFonts w:hint="eastAsia" w:ascii="宋体" w:hAnsi="宋体"/>
          <w:szCs w:val="21"/>
        </w:rPr>
        <w:t>1</w:t>
      </w:r>
      <w:r>
        <w:rPr>
          <w:rFonts w:ascii="宋体" w:hAnsi="宋体"/>
          <w:szCs w:val="21"/>
        </w:rPr>
        <w:t>条，高速公路</w:t>
      </w:r>
      <w:r>
        <w:rPr>
          <w:rFonts w:hint="eastAsia" w:ascii="宋体" w:hAnsi="宋体"/>
          <w:szCs w:val="21"/>
        </w:rPr>
        <w:t>2</w:t>
      </w:r>
      <w:r>
        <w:rPr>
          <w:rFonts w:ascii="宋体" w:hAnsi="宋体"/>
          <w:szCs w:val="21"/>
        </w:rPr>
        <w:t>条，省道</w:t>
      </w:r>
      <w:r>
        <w:rPr>
          <w:rFonts w:hint="eastAsia" w:ascii="宋体" w:hAnsi="宋体"/>
          <w:szCs w:val="21"/>
        </w:rPr>
        <w:t>5</w:t>
      </w:r>
      <w:r>
        <w:rPr>
          <w:rFonts w:ascii="宋体" w:hAnsi="宋体"/>
          <w:szCs w:val="21"/>
        </w:rPr>
        <w:t>条。</w:t>
      </w:r>
      <w:r>
        <w:rPr>
          <w:rFonts w:hint="eastAsia" w:ascii="宋体" w:hAnsi="宋体"/>
          <w:szCs w:val="21"/>
        </w:rPr>
        <w:t>G324</w:t>
      </w:r>
      <w:r>
        <w:rPr>
          <w:rFonts w:ascii="宋体" w:hAnsi="宋体"/>
          <w:szCs w:val="21"/>
        </w:rPr>
        <w:t>国道</w:t>
      </w:r>
      <w:r>
        <w:rPr>
          <w:rFonts w:hint="eastAsia" w:ascii="宋体" w:hAnsi="宋体"/>
          <w:szCs w:val="21"/>
        </w:rPr>
        <w:t>、G15国家</w:t>
      </w:r>
      <w:r>
        <w:rPr>
          <w:rFonts w:ascii="宋体" w:hAnsi="宋体"/>
          <w:szCs w:val="21"/>
        </w:rPr>
        <w:t>高速公路</w:t>
      </w:r>
      <w:r>
        <w:rPr>
          <w:rFonts w:hint="eastAsia" w:ascii="宋体" w:hAnsi="宋体"/>
          <w:szCs w:val="21"/>
        </w:rPr>
        <w:t>东西方向横贯</w:t>
      </w:r>
      <w:r>
        <w:rPr>
          <w:rFonts w:ascii="宋体" w:hAnsi="宋体"/>
          <w:szCs w:val="21"/>
        </w:rPr>
        <w:t>陆丰市</w:t>
      </w:r>
      <w:r>
        <w:rPr>
          <w:rFonts w:hint="eastAsia" w:ascii="宋体" w:hAnsi="宋体"/>
          <w:szCs w:val="21"/>
        </w:rPr>
        <w:t>辖区，S17省</w:t>
      </w:r>
      <w:r>
        <w:rPr>
          <w:rFonts w:ascii="宋体" w:hAnsi="宋体"/>
          <w:szCs w:val="21"/>
        </w:rPr>
        <w:t>高速公路</w:t>
      </w:r>
      <w:r>
        <w:rPr>
          <w:rFonts w:hint="eastAsia" w:ascii="宋体" w:hAnsi="宋体"/>
          <w:szCs w:val="21"/>
        </w:rPr>
        <w:t>连接南北，形成了以高速公路、国道、省道为骨架，县、乡公路为支线的公路网络。</w:t>
      </w:r>
      <w:r>
        <w:rPr>
          <w:rFonts w:ascii="宋体" w:hAnsi="宋体"/>
          <w:szCs w:val="21"/>
        </w:rPr>
        <w:t>厦深铁路</w:t>
      </w:r>
      <w:r>
        <w:rPr>
          <w:rFonts w:hint="eastAsia" w:ascii="宋体" w:hAnsi="宋体"/>
          <w:szCs w:val="21"/>
        </w:rPr>
        <w:t>客运专线横贯</w:t>
      </w:r>
      <w:r>
        <w:rPr>
          <w:rFonts w:ascii="宋体" w:hAnsi="宋体"/>
          <w:szCs w:val="21"/>
        </w:rPr>
        <w:t>陆丰市</w:t>
      </w:r>
      <w:r>
        <w:rPr>
          <w:rFonts w:hint="eastAsia" w:ascii="宋体" w:hAnsi="宋体"/>
          <w:szCs w:val="21"/>
        </w:rPr>
        <w:t>，并</w:t>
      </w:r>
      <w:r>
        <w:rPr>
          <w:rFonts w:ascii="宋体" w:hAnsi="宋体"/>
          <w:szCs w:val="21"/>
        </w:rPr>
        <w:t>在陆丰市设站。</w:t>
      </w:r>
    </w:p>
    <w:p>
      <w:pPr>
        <w:spacing w:line="300" w:lineRule="auto"/>
        <w:rPr>
          <w:rFonts w:ascii="宋体"/>
          <w:szCs w:val="21"/>
        </w:rPr>
      </w:pPr>
      <w:r>
        <w:rPr>
          <w:rFonts w:ascii="宋体" w:hAnsi="宋体"/>
          <w:szCs w:val="21"/>
        </w:rPr>
        <w:t>2.</w:t>
      </w:r>
      <w:r>
        <w:rPr>
          <w:rFonts w:hint="eastAsia" w:ascii="宋体" w:hAnsi="宋体"/>
          <w:szCs w:val="21"/>
        </w:rPr>
        <w:t>4现场条件</w:t>
      </w:r>
    </w:p>
    <w:p>
      <w:pPr>
        <w:spacing w:line="300" w:lineRule="auto"/>
        <w:ind w:firstLine="539"/>
        <w:rPr>
          <w:rFonts w:ascii="宋体"/>
          <w:szCs w:val="21"/>
        </w:rPr>
      </w:pPr>
      <w:r>
        <w:rPr>
          <w:rFonts w:hint="eastAsia" w:ascii="宋体" w:hAnsi="宋体"/>
          <w:szCs w:val="21"/>
        </w:rPr>
        <w:t>现场设施满足检验过程需要。</w:t>
      </w:r>
    </w:p>
    <w:p>
      <w:pPr>
        <w:pStyle w:val="2"/>
        <w:spacing w:before="312" w:after="156"/>
      </w:pPr>
      <w:bookmarkStart w:id="6" w:name="_Toc3840"/>
      <w:r>
        <w:t>3.</w:t>
      </w:r>
      <w:r>
        <w:rPr>
          <w:rFonts w:hint="eastAsia"/>
        </w:rPr>
        <w:t>工程概况</w:t>
      </w:r>
      <w:bookmarkEnd w:id="6"/>
    </w:p>
    <w:p>
      <w:pPr>
        <w:spacing w:line="300" w:lineRule="auto"/>
        <w:ind w:right="0" w:rightChars="0" w:firstLine="539" w:firstLineChars="0"/>
        <w:rPr>
          <w:rFonts w:hint="eastAsia" w:ascii="宋体" w:hAnsi="Times New Roman"/>
          <w:szCs w:val="21"/>
        </w:rPr>
      </w:pPr>
      <w:r>
        <w:rPr>
          <w:rFonts w:hint="eastAsia" w:ascii="宋体"/>
          <w:szCs w:val="21"/>
        </w:rPr>
        <w:t>陆丰宝丽华新能源电力有限公司甲湖湾电厂一期2×1000MW超超临界机组锅炉由上海锅炉厂设计、制造，锅炉为超超临界参数、变压直流炉、切圆燃烧方式、固态排渣、单炉膛、一次再热、平衡通风、紧身封闭、全钢构架、全悬吊п型结构。锅炉型号为SG-3118/29.30，采用四分仓回转式空气预热器和一次高参数再热技术，过热器出口温度为605℃，再热器出口温度达到623℃，设计锅炉效率95%，设计煤耗268g/kW·h，各项参数都达到了国内同类机组的最高水平。</w:t>
      </w:r>
      <w:r>
        <w:rPr>
          <w:rFonts w:hint="eastAsia" w:ascii="宋体" w:hAnsi="Times New Roman"/>
          <w:szCs w:val="21"/>
        </w:rPr>
        <w:t>#1机组于2018年11月09日正式投产发电。</w:t>
      </w:r>
    </w:p>
    <w:p>
      <w:pPr>
        <w:spacing w:line="300" w:lineRule="auto"/>
        <w:ind w:firstLine="420" w:firstLineChars="200"/>
      </w:pPr>
      <w:r>
        <w:rPr>
          <w:rFonts w:hint="eastAsia"/>
        </w:rPr>
        <w:t>3.2</w:t>
      </w:r>
      <w:r>
        <w:rPr>
          <w:rFonts w:hint="eastAsia"/>
          <w:lang w:eastAsia="zh-CN"/>
        </w:rPr>
        <w:t>检验</w:t>
      </w:r>
      <w:r>
        <w:rPr>
          <w:rFonts w:hint="eastAsia"/>
        </w:rPr>
        <w:t>资质要求</w:t>
      </w:r>
    </w:p>
    <w:p>
      <w:pPr>
        <w:numPr>
          <w:ilvl w:val="0"/>
          <w:numId w:val="2"/>
        </w:numPr>
        <w:spacing w:line="300" w:lineRule="auto"/>
        <w:ind w:firstLine="315" w:firstLineChars="150"/>
      </w:pPr>
      <w:r>
        <w:rPr>
          <w:rFonts w:hint="eastAsia"/>
          <w:lang w:val="en-US" w:eastAsia="zh-CN"/>
        </w:rPr>
        <w:t>投标方</w:t>
      </w:r>
      <w:r>
        <w:rPr>
          <w:rFonts w:hint="eastAsia"/>
        </w:rPr>
        <w:t>应在中华人民共和国注册并具有独立法人资格；</w:t>
      </w:r>
    </w:p>
    <w:p>
      <w:pPr>
        <w:numPr>
          <w:ilvl w:val="0"/>
          <w:numId w:val="2"/>
        </w:numPr>
        <w:spacing w:line="300" w:lineRule="auto"/>
        <w:ind w:firstLine="315" w:firstLineChars="150"/>
      </w:pPr>
      <w:r>
        <w:rPr>
          <w:rFonts w:hint="eastAsia"/>
        </w:rPr>
        <w:t>具有国家质量监督检验检疫总局颁发的《中华人民共和国特种设备检验检测机构核准证》</w:t>
      </w:r>
    </w:p>
    <w:p>
      <w:pPr>
        <w:numPr>
          <w:ilvl w:val="0"/>
          <w:numId w:val="2"/>
        </w:numPr>
        <w:spacing w:line="300" w:lineRule="auto"/>
        <w:ind w:firstLine="315" w:firstLineChars="150"/>
      </w:pPr>
      <w:r>
        <w:rPr>
          <w:rFonts w:hint="eastAsia"/>
        </w:rPr>
        <w:t>具有省级及以上市场监督管理局颁发的《检验检测机构资质认定证书》（CMA计量认证证书)和实验室认可证书CNAS；</w:t>
      </w:r>
    </w:p>
    <w:p>
      <w:pPr>
        <w:numPr>
          <w:ilvl w:val="0"/>
          <w:numId w:val="2"/>
        </w:numPr>
        <w:spacing w:line="300" w:lineRule="auto"/>
        <w:ind w:firstLine="315" w:firstLineChars="150"/>
      </w:pPr>
      <w:r>
        <w:rPr>
          <w:rFonts w:hint="eastAsia"/>
        </w:rPr>
        <w:t>须提供至少2份火电机组氧化皮检测项目业绩（附合同复印件证明）；</w:t>
      </w:r>
      <w:r>
        <w:rPr>
          <w:rFonts w:hint="eastAsia"/>
          <w:lang w:eastAsia="zh-CN"/>
        </w:rPr>
        <w:t>（同类型百万机组业绩更佳）</w:t>
      </w:r>
    </w:p>
    <w:p>
      <w:pPr>
        <w:spacing w:line="300" w:lineRule="auto"/>
        <w:ind w:firstLine="420" w:firstLineChars="200"/>
      </w:pPr>
      <w:r>
        <w:t xml:space="preserve">3.2 </w:t>
      </w:r>
      <w:r>
        <w:rPr>
          <w:rFonts w:hint="eastAsia"/>
        </w:rPr>
        <w:t>承包范围</w:t>
      </w:r>
    </w:p>
    <w:p>
      <w:pPr>
        <w:spacing w:line="300" w:lineRule="auto"/>
        <w:ind w:firstLine="525" w:firstLineChars="250"/>
      </w:pPr>
      <w:r>
        <w:rPr>
          <w:rFonts w:hint="eastAsia"/>
        </w:rPr>
        <w:t>3.2.1检测工作范围（一台炉数量，两台炉的数量应乘以2）：</w:t>
      </w:r>
    </w:p>
    <w:p>
      <w:pPr>
        <w:numPr>
          <w:ilvl w:val="0"/>
          <w:numId w:val="2"/>
        </w:numPr>
        <w:spacing w:line="300" w:lineRule="auto"/>
        <w:ind w:firstLine="315" w:firstLineChars="150"/>
      </w:pPr>
      <w:r>
        <w:rPr>
          <w:rFonts w:hint="eastAsia"/>
        </w:rPr>
        <w:t>锅炉高温过热器管，共68屏，每屏17根管子，共2312只底部</w:t>
      </w:r>
      <w:bookmarkStart w:id="27" w:name="_GoBack"/>
      <w:bookmarkEnd w:id="27"/>
      <w:r>
        <w:rPr>
          <w:rFonts w:hint="eastAsia"/>
        </w:rPr>
        <w:t>弯头；</w:t>
      </w:r>
      <w:r>
        <w:rPr>
          <w:rFonts w:hint="eastAsia"/>
        </w:rPr>
        <w:br w:type="textWrapping"/>
      </w:r>
      <w:r>
        <w:rPr>
          <w:rFonts w:hint="eastAsia"/>
        </w:rPr>
        <w:t>（末过68屏</w:t>
      </w:r>
      <w:r>
        <w:rPr>
          <w:rFonts w:hint="eastAsia"/>
          <w:lang w:eastAsia="zh-CN"/>
        </w:rPr>
        <w:t>，</w:t>
      </w:r>
      <w:r>
        <w:rPr>
          <w:rFonts w:hint="eastAsia"/>
        </w:rPr>
        <w:t>每屏17环，每一环2个弯头，合计68*17*2*2</w:t>
      </w:r>
      <w:r>
        <w:rPr>
          <w:rFonts w:hint="eastAsia"/>
          <w:lang w:eastAsia="zh-CN"/>
        </w:rPr>
        <w:t>台</w:t>
      </w:r>
      <w:r>
        <w:rPr>
          <w:rFonts w:hint="eastAsia"/>
        </w:rPr>
        <w:t>=4624）</w:t>
      </w:r>
    </w:p>
    <w:p>
      <w:pPr>
        <w:numPr>
          <w:ilvl w:val="0"/>
          <w:numId w:val="2"/>
        </w:numPr>
        <w:spacing w:line="300" w:lineRule="auto"/>
        <w:ind w:firstLine="315" w:firstLineChars="150"/>
      </w:pPr>
      <w:r>
        <w:rPr>
          <w:rFonts w:hint="eastAsia"/>
        </w:rPr>
        <w:t>锅炉屏式过热器管，共</w:t>
      </w:r>
      <w:r>
        <w:t>84</w:t>
      </w:r>
      <w:r>
        <w:rPr>
          <w:rFonts w:hint="eastAsia"/>
        </w:rPr>
        <w:t>屏，每屏20根管子，共 1680只底部弯头；</w:t>
      </w:r>
      <w:r>
        <w:rPr>
          <w:rFonts w:hint="eastAsia"/>
        </w:rPr>
        <w:br w:type="textWrapping"/>
      </w:r>
      <w:r>
        <w:rPr>
          <w:rFonts w:hint="eastAsia"/>
        </w:rPr>
        <w:t>（屏过是21大屏</w:t>
      </w:r>
      <w:r>
        <w:rPr>
          <w:rFonts w:hint="eastAsia"/>
          <w:lang w:eastAsia="zh-CN"/>
        </w:rPr>
        <w:t>，</w:t>
      </w:r>
      <w:r>
        <w:rPr>
          <w:rFonts w:hint="eastAsia"/>
        </w:rPr>
        <w:t>每大屏4小屏</w:t>
      </w:r>
      <w:r>
        <w:rPr>
          <w:rFonts w:hint="eastAsia"/>
          <w:lang w:eastAsia="zh-CN"/>
        </w:rPr>
        <w:t>，</w:t>
      </w:r>
      <w:r>
        <w:rPr>
          <w:rFonts w:hint="eastAsia"/>
        </w:rPr>
        <w:t>每屏10环（20根管）计20个弯头</w:t>
      </w:r>
      <w:r>
        <w:rPr>
          <w:rFonts w:hint="eastAsia"/>
          <w:lang w:eastAsia="zh-CN"/>
        </w:rPr>
        <w:t>，</w:t>
      </w:r>
      <w:r>
        <w:rPr>
          <w:rFonts w:hint="eastAsia"/>
        </w:rPr>
        <w:t>合计21*4*10*2*2</w:t>
      </w:r>
      <w:r>
        <w:rPr>
          <w:rFonts w:hint="eastAsia"/>
          <w:lang w:eastAsia="zh-CN"/>
        </w:rPr>
        <w:t>台</w:t>
      </w:r>
      <w:r>
        <w:rPr>
          <w:rFonts w:hint="eastAsia"/>
        </w:rPr>
        <w:t>=3360）</w:t>
      </w:r>
    </w:p>
    <w:p>
      <w:pPr>
        <w:numPr>
          <w:ilvl w:val="0"/>
          <w:numId w:val="2"/>
        </w:numPr>
        <w:spacing w:line="300" w:lineRule="auto"/>
        <w:ind w:firstLine="315" w:firstLineChars="150"/>
      </w:pPr>
      <w:r>
        <w:rPr>
          <w:rFonts w:hint="eastAsia"/>
        </w:rPr>
        <w:t>锅炉高温再热器管，双组件各137屏，每屏8根管子，共</w:t>
      </w:r>
      <w:r>
        <w:t>4384</w:t>
      </w:r>
      <w:r>
        <w:rPr>
          <w:rFonts w:hint="eastAsia"/>
        </w:rPr>
        <w:t>只底部弯头；</w:t>
      </w:r>
      <w:r>
        <w:rPr>
          <w:rFonts w:hint="eastAsia"/>
        </w:rPr>
        <w:br w:type="textWrapping"/>
      </w:r>
      <w:r>
        <w:rPr>
          <w:rFonts w:hint="eastAsia"/>
        </w:rPr>
        <w:t>（末再137屏双组件</w:t>
      </w:r>
      <w:r>
        <w:rPr>
          <w:rFonts w:hint="eastAsia"/>
          <w:lang w:eastAsia="zh-CN"/>
        </w:rPr>
        <w:t>，</w:t>
      </w:r>
      <w:r>
        <w:rPr>
          <w:rFonts w:hint="eastAsia"/>
        </w:rPr>
        <w:t>每屏8环，每一环2个弯头，合计137*8*2*2*2</w:t>
      </w:r>
      <w:r>
        <w:rPr>
          <w:rFonts w:hint="eastAsia"/>
          <w:lang w:eastAsia="zh-CN"/>
        </w:rPr>
        <w:t>台</w:t>
      </w:r>
      <w:r>
        <w:rPr>
          <w:rFonts w:hint="eastAsia"/>
        </w:rPr>
        <w:t>=8768）；</w:t>
      </w:r>
    </w:p>
    <w:p>
      <w:pPr>
        <w:numPr>
          <w:ilvl w:val="0"/>
          <w:numId w:val="2"/>
        </w:numPr>
        <w:spacing w:line="300" w:lineRule="auto"/>
        <w:ind w:firstLine="315" w:firstLineChars="150"/>
      </w:pPr>
      <w:r>
        <w:rPr>
          <w:rFonts w:hint="eastAsia"/>
        </w:rPr>
        <w:t>必要时取样送检，暂定4根</w:t>
      </w:r>
      <w:r>
        <w:rPr>
          <w:rFonts w:hint="eastAsia"/>
          <w:lang w:eastAsia="zh-CN"/>
        </w:rPr>
        <w:t>，送检内容包含金相组织分析、化学垢样分析、力学性能分析。（送检过程产生的邮费、运输费等附属相关费用均由投标方负责）</w:t>
      </w:r>
    </w:p>
    <w:p>
      <w:pPr>
        <w:numPr>
          <w:ilvl w:val="0"/>
          <w:numId w:val="2"/>
        </w:numPr>
        <w:spacing w:line="300" w:lineRule="auto"/>
        <w:ind w:firstLine="315" w:firstLineChars="150"/>
      </w:pPr>
      <w:r>
        <w:rPr>
          <w:rFonts w:hint="eastAsia"/>
        </w:rPr>
        <w:t>注：以上数量为设计管屏数量，具体实施检测过程若条件不具备，则以实际检测数量为主，项目开展最多不超过4次，合计总完成检测数量实施完毕即可；</w:t>
      </w:r>
    </w:p>
    <w:p>
      <w:pPr>
        <w:spacing w:line="300" w:lineRule="auto"/>
        <w:ind w:firstLine="525" w:firstLineChars="250"/>
      </w:pPr>
      <w:r>
        <w:rPr>
          <w:rFonts w:hint="eastAsia"/>
        </w:rPr>
        <w:t>3.2.2清理工作范围：</w:t>
      </w:r>
    </w:p>
    <w:p>
      <w:pPr>
        <w:spacing w:line="300" w:lineRule="auto"/>
        <w:ind w:firstLine="315" w:firstLineChars="150"/>
      </w:pPr>
      <w:r>
        <w:rPr>
          <w:rFonts w:hint="eastAsia"/>
        </w:rPr>
        <w:t>根据3.2.1检测范围，若发现氧化物堆积超出规程标准要求，需要进行清理的，由投标方负责清理工作（只负责清理氧化物，其它割管、焊接、焊口RT等工作招标方负责），并做好验收签字留底（或在报告内体现）。</w:t>
      </w:r>
    </w:p>
    <w:p>
      <w:pPr>
        <w:spacing w:line="300" w:lineRule="auto"/>
        <w:ind w:firstLine="539"/>
        <w:rPr>
          <w:rFonts w:ascii="宋体" w:hAnsi="宋体"/>
          <w:szCs w:val="21"/>
        </w:rPr>
      </w:pPr>
      <w:r>
        <w:rPr>
          <w:rFonts w:hint="eastAsia" w:ascii="宋体" w:hAnsi="宋体"/>
          <w:szCs w:val="21"/>
        </w:rPr>
        <w:t>3.3割管清理后的检测。</w:t>
      </w:r>
    </w:p>
    <w:p>
      <w:pPr>
        <w:spacing w:line="300" w:lineRule="auto"/>
        <w:ind w:firstLine="539"/>
        <w:rPr>
          <w:rFonts w:ascii="宋体"/>
          <w:szCs w:val="21"/>
        </w:rPr>
      </w:pPr>
      <w:r>
        <w:rPr>
          <w:rFonts w:ascii="宋体" w:hAnsi="宋体"/>
          <w:szCs w:val="21"/>
        </w:rPr>
        <w:t>3.</w:t>
      </w:r>
      <w:r>
        <w:rPr>
          <w:rFonts w:hint="eastAsia" w:ascii="宋体" w:hAnsi="宋体"/>
          <w:szCs w:val="21"/>
        </w:rPr>
        <w:t>4检测方法</w:t>
      </w:r>
    </w:p>
    <w:p>
      <w:pPr>
        <w:spacing w:line="300" w:lineRule="auto"/>
        <w:ind w:firstLine="539"/>
        <w:rPr>
          <w:rFonts w:ascii="宋体"/>
          <w:szCs w:val="21"/>
        </w:rPr>
      </w:pPr>
      <w:r>
        <w:rPr>
          <w:rFonts w:hint="eastAsia" w:ascii="宋体"/>
          <w:szCs w:val="21"/>
        </w:rPr>
        <w:t>本项目一般采用电磁检测方法，仪器为奥氏体氧化皮检测仪（根据检测仪器信号强度对管子内部氧化物的空间分布情况检查并进行评级，同时，对弯管内部堆积氧化皮严重的可疑部位以射线检测做为校核补充手段，为割管处理提供准确可靠的依据）；若有新的检验检测技术，可由投标方提出并经招标方核实确认方可执行，但不可作为项目加收费用的条件。</w:t>
      </w:r>
    </w:p>
    <w:p>
      <w:pPr>
        <w:spacing w:line="300" w:lineRule="auto"/>
        <w:ind w:firstLine="539"/>
        <w:rPr>
          <w:rFonts w:ascii="宋体"/>
          <w:szCs w:val="21"/>
        </w:rPr>
      </w:pPr>
      <w:r>
        <w:rPr>
          <w:rFonts w:hint="eastAsia" w:ascii="宋体"/>
          <w:szCs w:val="21"/>
        </w:rPr>
        <w:t>检测位置：每根U型管检测弯头部位；</w:t>
      </w:r>
    </w:p>
    <w:p>
      <w:pPr>
        <w:pStyle w:val="2"/>
        <w:spacing w:before="312" w:after="156"/>
      </w:pPr>
      <w:bookmarkStart w:id="7" w:name="_Toc9141"/>
      <w:r>
        <w:t>4.</w:t>
      </w:r>
      <w:r>
        <w:rPr>
          <w:rFonts w:hint="eastAsia"/>
        </w:rPr>
        <w:t>工程规范</w:t>
      </w:r>
      <w:bookmarkEnd w:id="7"/>
    </w:p>
    <w:p>
      <w:pPr>
        <w:spacing w:line="300" w:lineRule="auto"/>
        <w:ind w:firstLine="539"/>
        <w:rPr>
          <w:rFonts w:ascii="宋体"/>
          <w:szCs w:val="21"/>
        </w:rPr>
      </w:pPr>
      <w:r>
        <w:rPr>
          <w:rFonts w:ascii="宋体" w:hAnsi="宋体"/>
          <w:szCs w:val="21"/>
        </w:rPr>
        <w:t>4.1</w:t>
      </w:r>
      <w:r>
        <w:rPr>
          <w:rFonts w:hint="eastAsia" w:ascii="宋体" w:hAnsi="宋体"/>
          <w:szCs w:val="21"/>
        </w:rPr>
        <w:t>设备规范</w:t>
      </w:r>
    </w:p>
    <w:p>
      <w:pPr>
        <w:spacing w:line="300" w:lineRule="auto"/>
        <w:ind w:firstLine="539"/>
        <w:rPr>
          <w:rFonts w:ascii="宋体"/>
          <w:szCs w:val="21"/>
        </w:rPr>
      </w:pPr>
      <w:r>
        <w:rPr>
          <w:rFonts w:hint="eastAsia"/>
        </w:rPr>
        <w:t>检验所需仪器</w:t>
      </w:r>
      <w:r>
        <w:rPr>
          <w:rFonts w:hint="eastAsia" w:ascii="宋体" w:hAnsi="宋体"/>
          <w:szCs w:val="21"/>
        </w:rPr>
        <w:t>配置必须满足检验工作要求。各种检验工器具和实验仪器，按期检定合格并有合格证。</w:t>
      </w:r>
    </w:p>
    <w:p>
      <w:pPr>
        <w:spacing w:line="300" w:lineRule="auto"/>
        <w:ind w:firstLine="539"/>
        <w:rPr>
          <w:rFonts w:ascii="宋体"/>
          <w:szCs w:val="21"/>
        </w:rPr>
      </w:pPr>
      <w:r>
        <w:rPr>
          <w:rFonts w:ascii="宋体" w:hAnsi="宋体"/>
          <w:szCs w:val="21"/>
        </w:rPr>
        <w:t>4.2</w:t>
      </w:r>
      <w:r>
        <w:rPr>
          <w:rFonts w:hint="eastAsia" w:ascii="宋体" w:hAnsi="宋体"/>
          <w:szCs w:val="21"/>
        </w:rPr>
        <w:t>工艺规范</w:t>
      </w:r>
    </w:p>
    <w:p>
      <w:pPr>
        <w:spacing w:line="300" w:lineRule="auto"/>
        <w:ind w:firstLine="539"/>
        <w:rPr>
          <w:rFonts w:hint="eastAsia" w:ascii="宋体" w:hAnsi="宋体"/>
          <w:szCs w:val="21"/>
        </w:rPr>
      </w:pPr>
      <w:r>
        <w:rPr>
          <w:rFonts w:hint="eastAsia" w:ascii="宋体" w:hAnsi="宋体"/>
          <w:szCs w:val="21"/>
        </w:rPr>
        <w:t>按照国家标准、行业标准开展检测工作。工作期间，应对其检验原始记录保存完整，并随时接受招标方有关人员的检查，若发现有弄虚作假，招标方有权中止本协议的执行并扣除检测工作全部款项。</w:t>
      </w:r>
    </w:p>
    <w:p>
      <w:pPr>
        <w:spacing w:line="300" w:lineRule="auto"/>
        <w:ind w:firstLine="539"/>
        <w:rPr>
          <w:rFonts w:hint="eastAsia" w:ascii="宋体" w:hAnsi="宋体"/>
          <w:szCs w:val="21"/>
        </w:rPr>
      </w:pPr>
    </w:p>
    <w:p>
      <w:pPr>
        <w:spacing w:line="300" w:lineRule="auto"/>
        <w:ind w:firstLine="539"/>
        <w:rPr>
          <w:rFonts w:hint="eastAsia" w:ascii="宋体" w:hAnsi="宋体"/>
          <w:szCs w:val="21"/>
        </w:rPr>
      </w:pPr>
    </w:p>
    <w:p>
      <w:pPr>
        <w:pStyle w:val="2"/>
        <w:spacing w:before="312" w:after="156"/>
      </w:pPr>
      <w:bookmarkStart w:id="8" w:name="_Toc21193"/>
      <w:r>
        <w:t>5.</w:t>
      </w:r>
      <w:r>
        <w:rPr>
          <w:rFonts w:hint="eastAsia"/>
        </w:rPr>
        <w:t>技术标准</w:t>
      </w:r>
      <w:bookmarkEnd w:id="8"/>
    </w:p>
    <w:p>
      <w:pPr>
        <w:spacing w:line="300" w:lineRule="auto"/>
        <w:ind w:firstLine="539"/>
        <w:rPr>
          <w:rFonts w:ascii="宋体"/>
          <w:szCs w:val="21"/>
        </w:rPr>
      </w:pPr>
      <w:r>
        <w:rPr>
          <w:rFonts w:hint="eastAsia" w:ascii="宋体" w:hAnsi="宋体"/>
          <w:szCs w:val="21"/>
        </w:rPr>
        <w:t>5</w:t>
      </w:r>
      <w:r>
        <w:rPr>
          <w:rFonts w:ascii="宋体" w:hAnsi="宋体"/>
          <w:szCs w:val="21"/>
        </w:rPr>
        <w:t>.1</w:t>
      </w:r>
      <w:r>
        <w:rPr>
          <w:rFonts w:hint="eastAsia" w:ascii="宋体" w:hAnsi="宋体"/>
          <w:szCs w:val="21"/>
        </w:rPr>
        <w:t>本技术规范书所使用的标准如与投标人所执行的标准发生矛盾时，按较高标准执行。</w:t>
      </w:r>
    </w:p>
    <w:p>
      <w:pPr>
        <w:spacing w:line="300" w:lineRule="auto"/>
        <w:ind w:firstLine="539"/>
        <w:rPr>
          <w:rFonts w:ascii="宋体"/>
          <w:szCs w:val="21"/>
        </w:rPr>
      </w:pPr>
      <w:r>
        <w:rPr>
          <w:rFonts w:hint="eastAsia" w:ascii="宋体" w:hAnsi="宋体"/>
          <w:szCs w:val="21"/>
        </w:rPr>
        <w:t>5</w:t>
      </w:r>
      <w:r>
        <w:rPr>
          <w:rFonts w:ascii="宋体" w:hAnsi="宋体"/>
          <w:szCs w:val="21"/>
        </w:rPr>
        <w:t>.2</w:t>
      </w:r>
      <w:r>
        <w:rPr>
          <w:rFonts w:hint="eastAsia" w:ascii="宋体" w:hAnsi="宋体"/>
          <w:szCs w:val="21"/>
        </w:rPr>
        <w:t>引用标准</w:t>
      </w:r>
    </w:p>
    <w:p>
      <w:pPr>
        <w:spacing w:line="300" w:lineRule="auto"/>
        <w:ind w:firstLine="539"/>
        <w:rPr>
          <w:rFonts w:hint="eastAsia" w:ascii="宋体" w:hAnsi="宋体"/>
          <w:szCs w:val="21"/>
        </w:rPr>
      </w:pPr>
      <w:r>
        <w:rPr>
          <w:rFonts w:hint="eastAsia" w:ascii="宋体" w:hAnsi="宋体"/>
          <w:szCs w:val="21"/>
        </w:rPr>
        <w:t>5</w:t>
      </w:r>
      <w:r>
        <w:rPr>
          <w:rFonts w:ascii="宋体" w:hAnsi="宋体"/>
          <w:szCs w:val="21"/>
        </w:rPr>
        <w:t>.2.1</w:t>
      </w:r>
      <w:r>
        <w:rPr>
          <w:rFonts w:hint="eastAsia" w:ascii="宋体" w:hAnsi="宋体"/>
          <w:szCs w:val="21"/>
        </w:rPr>
        <w:t>本技术规范书中涉及的所有标准，均为截止到招标人发出本技术规范书之日的最新版本。若发现本技术规范书与参考的标准有不一致之处，投保方应向招标方指明。投标方也可提出其他相当的替代标准，但需经招标方确认。</w:t>
      </w:r>
    </w:p>
    <w:p>
      <w:pPr>
        <w:spacing w:line="300" w:lineRule="auto"/>
        <w:ind w:firstLine="539"/>
        <w:rPr>
          <w:rFonts w:hint="eastAsia" w:ascii="宋体" w:hAnsi="宋体"/>
          <w:szCs w:val="21"/>
        </w:rPr>
      </w:pPr>
    </w:p>
    <w:p>
      <w:pPr>
        <w:pStyle w:val="2"/>
        <w:spacing w:before="312" w:after="156"/>
      </w:pPr>
      <w:bookmarkStart w:id="9" w:name="_Toc9250"/>
      <w:r>
        <w:t>6.</w:t>
      </w:r>
      <w:r>
        <w:rPr>
          <w:rFonts w:hint="eastAsia"/>
        </w:rPr>
        <w:t>质量保证和安健环要求</w:t>
      </w:r>
      <w:bookmarkEnd w:id="9"/>
    </w:p>
    <w:p>
      <w:pPr>
        <w:spacing w:line="300" w:lineRule="auto"/>
        <w:ind w:firstLine="539"/>
        <w:rPr>
          <w:rFonts w:ascii="宋体"/>
          <w:szCs w:val="21"/>
        </w:rPr>
      </w:pPr>
      <w:r>
        <w:rPr>
          <w:rFonts w:hint="eastAsia" w:ascii="宋体" w:hAnsi="宋体"/>
          <w:szCs w:val="21"/>
        </w:rPr>
        <w:t>6</w:t>
      </w:r>
      <w:r>
        <w:rPr>
          <w:rFonts w:ascii="宋体" w:hAnsi="宋体"/>
          <w:szCs w:val="21"/>
        </w:rPr>
        <w:t>.1</w:t>
      </w:r>
      <w:r>
        <w:rPr>
          <w:rFonts w:hint="eastAsia" w:ascii="宋体" w:hAnsi="宋体"/>
          <w:szCs w:val="21"/>
        </w:rPr>
        <w:t>技术要求</w:t>
      </w:r>
    </w:p>
    <w:p>
      <w:pPr>
        <w:spacing w:line="300" w:lineRule="auto"/>
        <w:ind w:left="420" w:leftChars="200" w:firstLine="105" w:firstLineChars="50"/>
        <w:rPr>
          <w:rFonts w:ascii="宋体" w:hAnsi="宋体"/>
          <w:szCs w:val="21"/>
        </w:rPr>
      </w:pPr>
      <w:r>
        <w:rPr>
          <w:rFonts w:hint="eastAsia" w:ascii="宋体" w:hAnsi="宋体"/>
          <w:szCs w:val="21"/>
        </w:rPr>
        <w:t>熟悉受热面管子布置图纸，掌握检测项目的管材材质、规格、数量、编号。</w:t>
      </w:r>
    </w:p>
    <w:p>
      <w:pPr>
        <w:spacing w:line="300" w:lineRule="auto"/>
        <w:ind w:left="420" w:leftChars="200" w:firstLine="105" w:firstLineChars="50"/>
        <w:rPr>
          <w:rFonts w:ascii="宋体" w:hAnsi="宋体"/>
          <w:szCs w:val="21"/>
        </w:rPr>
      </w:pPr>
      <w:r>
        <w:rPr>
          <w:rFonts w:hint="eastAsia" w:ascii="宋体" w:hAnsi="宋体"/>
          <w:szCs w:val="21"/>
        </w:rPr>
        <w:t>及时向招标方反馈检验中发现的问题，以便招标方能够及时处理。</w:t>
      </w:r>
    </w:p>
    <w:p>
      <w:pPr>
        <w:spacing w:line="300" w:lineRule="auto"/>
        <w:ind w:left="420" w:leftChars="200" w:firstLine="105" w:firstLineChars="50"/>
        <w:rPr>
          <w:rFonts w:ascii="宋体" w:hAnsi="宋体"/>
          <w:szCs w:val="21"/>
        </w:rPr>
      </w:pPr>
      <w:r>
        <w:rPr>
          <w:rFonts w:hint="eastAsia" w:ascii="宋体" w:hAnsi="宋体"/>
          <w:szCs w:val="21"/>
        </w:rPr>
        <w:t>按照招标方要求对受检管排的编排方式，对管道弯头编号，并对管道弯头编号顺序逐根对其检测、记录，记录形式配合招标方金属技术监督台账格式要求完善，要求记录清晰明白，能够对比历次检测的记录数据，有利于招标方开展金属技术监督分析工作；</w:t>
      </w:r>
    </w:p>
    <w:p>
      <w:pPr>
        <w:spacing w:line="300" w:lineRule="auto"/>
        <w:ind w:left="420" w:leftChars="200" w:firstLine="105" w:firstLineChars="50"/>
        <w:rPr>
          <w:rFonts w:ascii="宋体"/>
          <w:szCs w:val="21"/>
        </w:rPr>
      </w:pPr>
      <w:r>
        <w:rPr>
          <w:rFonts w:hint="eastAsia" w:ascii="宋体" w:hAnsi="宋体"/>
          <w:szCs w:val="21"/>
        </w:rPr>
        <w:t>现场检测工作结束后立即向招标方提供检测结果、结论和处理建议，并向招标方指出需要清理的具体部位及数量，以便于招标方及时采取处理措施。</w:t>
      </w:r>
    </w:p>
    <w:p>
      <w:pPr>
        <w:spacing w:line="300" w:lineRule="auto"/>
        <w:ind w:firstLine="539"/>
        <w:rPr>
          <w:rFonts w:ascii="宋体"/>
          <w:szCs w:val="21"/>
        </w:rPr>
      </w:pPr>
      <w:r>
        <w:rPr>
          <w:rFonts w:hint="eastAsia" w:ascii="宋体" w:hAnsi="宋体"/>
          <w:szCs w:val="21"/>
        </w:rPr>
        <w:t>6</w:t>
      </w:r>
      <w:r>
        <w:rPr>
          <w:rFonts w:ascii="宋体" w:hAnsi="宋体"/>
          <w:szCs w:val="21"/>
        </w:rPr>
        <w:t>.2</w:t>
      </w:r>
      <w:r>
        <w:rPr>
          <w:rFonts w:hint="eastAsia" w:ascii="宋体" w:hAnsi="宋体"/>
          <w:szCs w:val="21"/>
        </w:rPr>
        <w:t>工期</w:t>
      </w:r>
    </w:p>
    <w:p>
      <w:pPr>
        <w:spacing w:line="300" w:lineRule="auto"/>
        <w:ind w:firstLine="539"/>
        <w:rPr>
          <w:rFonts w:ascii="宋体" w:hAnsi="宋体"/>
          <w:szCs w:val="21"/>
        </w:rPr>
      </w:pPr>
      <w:r>
        <w:rPr>
          <w:rFonts w:hint="eastAsia" w:ascii="宋体" w:hAnsi="宋体"/>
          <w:szCs w:val="21"/>
        </w:rPr>
        <w:t>签订完成合同后开始，在具备检修周期时间内，由招标方通知投标方到厂实施本项目，并在5天内完成检测工作。</w:t>
      </w:r>
    </w:p>
    <w:p>
      <w:pPr>
        <w:spacing w:line="300" w:lineRule="auto"/>
        <w:ind w:firstLine="539"/>
        <w:rPr>
          <w:rFonts w:ascii="宋体" w:hAnsi="宋体"/>
          <w:szCs w:val="21"/>
        </w:rPr>
      </w:pPr>
      <w:r>
        <w:rPr>
          <w:rFonts w:hint="eastAsia" w:ascii="宋体" w:hAnsi="宋体"/>
          <w:szCs w:val="21"/>
        </w:rPr>
        <w:t>6.3转让和分包</w:t>
      </w:r>
    </w:p>
    <w:p>
      <w:pPr>
        <w:spacing w:line="300" w:lineRule="auto"/>
        <w:ind w:firstLine="539"/>
        <w:rPr>
          <w:rFonts w:ascii="宋体"/>
          <w:szCs w:val="21"/>
        </w:rPr>
      </w:pPr>
      <w:r>
        <w:rPr>
          <w:rFonts w:hint="eastAsia" w:ascii="宋体"/>
          <w:szCs w:val="21"/>
        </w:rPr>
        <w:t>未得到招标方的同意，投标方不许将合同的任何部分分包出去。如果分包，则分包部分的责任应由投标方全部负责。</w:t>
      </w:r>
    </w:p>
    <w:p>
      <w:pPr>
        <w:spacing w:line="300" w:lineRule="auto"/>
        <w:ind w:firstLine="539"/>
        <w:rPr>
          <w:rFonts w:ascii="宋体"/>
          <w:szCs w:val="21"/>
        </w:rPr>
      </w:pPr>
      <w:r>
        <w:rPr>
          <w:rFonts w:hint="eastAsia" w:ascii="宋体" w:hAnsi="宋体"/>
          <w:szCs w:val="21"/>
        </w:rPr>
        <w:t>6</w:t>
      </w:r>
      <w:r>
        <w:rPr>
          <w:rFonts w:ascii="宋体" w:hAnsi="宋体"/>
          <w:szCs w:val="21"/>
        </w:rPr>
        <w:t>.</w:t>
      </w:r>
      <w:r>
        <w:rPr>
          <w:rFonts w:hint="eastAsia" w:ascii="宋体" w:hAnsi="宋体"/>
          <w:szCs w:val="21"/>
        </w:rPr>
        <w:t>4安健环要求</w:t>
      </w:r>
    </w:p>
    <w:p>
      <w:pPr>
        <w:spacing w:line="300" w:lineRule="auto"/>
        <w:ind w:firstLine="539"/>
        <w:rPr>
          <w:rFonts w:ascii="宋体"/>
          <w:szCs w:val="21"/>
        </w:rPr>
      </w:pPr>
      <w:r>
        <w:rPr>
          <w:rFonts w:hint="eastAsia" w:ascii="宋体" w:hAnsi="宋体"/>
          <w:szCs w:val="21"/>
        </w:rPr>
        <w:t>现场按《电业安全工作规程》和陆丰宝丽华新能源电力有限公司有关制度和规定正确、有序地进行工作。对自身的安全生产负责，在工作期间如果发生重大设备损坏或人员伤亡事故，要及时通知招标方并保护现场，积极配合调查处理，凡属投标方原因所造成的一切经济损失和法律责任，均由投标方承担。</w:t>
      </w:r>
    </w:p>
    <w:p>
      <w:pPr>
        <w:pStyle w:val="2"/>
        <w:spacing w:before="312" w:after="156"/>
      </w:pPr>
      <w:bookmarkStart w:id="10" w:name="_Toc25034"/>
      <w:r>
        <w:t>7.</w:t>
      </w:r>
      <w:r>
        <w:rPr>
          <w:rFonts w:hint="eastAsia"/>
        </w:rPr>
        <w:t>分工界限</w:t>
      </w:r>
      <w:bookmarkEnd w:id="10"/>
    </w:p>
    <w:p>
      <w:pPr>
        <w:spacing w:line="300" w:lineRule="auto"/>
        <w:ind w:firstLine="539"/>
        <w:rPr>
          <w:rFonts w:ascii="宋体"/>
          <w:szCs w:val="21"/>
        </w:rPr>
      </w:pPr>
      <w:r>
        <w:rPr>
          <w:rFonts w:hint="eastAsia" w:ascii="宋体" w:hAnsi="宋体"/>
          <w:szCs w:val="21"/>
        </w:rPr>
        <w:t>7</w:t>
      </w:r>
      <w:r>
        <w:rPr>
          <w:rFonts w:ascii="宋体" w:hAnsi="宋体"/>
          <w:szCs w:val="21"/>
        </w:rPr>
        <w:t>.1</w:t>
      </w:r>
      <w:r>
        <w:rPr>
          <w:rFonts w:hint="eastAsia" w:ascii="宋体" w:hAnsi="宋体"/>
          <w:szCs w:val="21"/>
        </w:rPr>
        <w:t>招标人的工作</w:t>
      </w:r>
    </w:p>
    <w:p>
      <w:pPr>
        <w:spacing w:line="300" w:lineRule="auto"/>
        <w:ind w:firstLine="539"/>
        <w:rPr>
          <w:rFonts w:ascii="宋体" w:hAnsi="宋体"/>
          <w:szCs w:val="21"/>
        </w:rPr>
      </w:pPr>
      <w:r>
        <w:rPr>
          <w:rFonts w:hint="eastAsia" w:ascii="宋体" w:hAnsi="宋体"/>
          <w:szCs w:val="21"/>
        </w:rPr>
        <w:t>依据本合同对受托人的工程进行监督、检查和指导。</w:t>
      </w:r>
    </w:p>
    <w:p>
      <w:pPr>
        <w:spacing w:line="300" w:lineRule="auto"/>
        <w:ind w:firstLine="539"/>
        <w:rPr>
          <w:rFonts w:ascii="宋体" w:hAnsi="宋体"/>
          <w:szCs w:val="21"/>
        </w:rPr>
      </w:pPr>
      <w:r>
        <w:rPr>
          <w:rFonts w:hint="eastAsia" w:ascii="宋体" w:hAnsi="宋体"/>
          <w:szCs w:val="21"/>
        </w:rPr>
        <w:t>提供投标方检测场地、电源、照明。</w:t>
      </w:r>
    </w:p>
    <w:p>
      <w:pPr>
        <w:spacing w:line="300" w:lineRule="auto"/>
        <w:ind w:firstLine="539"/>
        <w:rPr>
          <w:rFonts w:ascii="宋体" w:hAnsi="宋体"/>
          <w:szCs w:val="21"/>
        </w:rPr>
      </w:pPr>
      <w:r>
        <w:rPr>
          <w:rFonts w:hint="eastAsia" w:ascii="宋体" w:hAnsi="宋体"/>
          <w:szCs w:val="21"/>
        </w:rPr>
        <w:t>脚手架应按投标方现场检验人员检验要求架设牢固、安全。</w:t>
      </w:r>
    </w:p>
    <w:p>
      <w:pPr>
        <w:spacing w:line="300" w:lineRule="auto"/>
        <w:ind w:firstLine="539"/>
        <w:rPr>
          <w:rFonts w:ascii="宋体" w:hAnsi="宋体"/>
          <w:szCs w:val="21"/>
        </w:rPr>
      </w:pPr>
      <w:r>
        <w:rPr>
          <w:rFonts w:hint="eastAsia" w:ascii="宋体" w:hAnsi="宋体"/>
          <w:szCs w:val="21"/>
        </w:rPr>
        <w:t>协调在检验期间内投标方与有关各方的关系。</w:t>
      </w:r>
    </w:p>
    <w:p>
      <w:pPr>
        <w:spacing w:line="300" w:lineRule="auto"/>
        <w:ind w:firstLine="539"/>
        <w:rPr>
          <w:rFonts w:ascii="宋体" w:hAnsi="宋体"/>
          <w:szCs w:val="21"/>
        </w:rPr>
      </w:pPr>
      <w:r>
        <w:rPr>
          <w:rFonts w:hint="eastAsia" w:ascii="宋体" w:hAnsi="宋体"/>
          <w:szCs w:val="21"/>
        </w:rPr>
        <w:t>向投标方提供检测工作所需的资料包括但不限于图纸、作业指导书等，并进行相关技术交底。明确每天必须完成的工程量、检测的部位及编号。</w:t>
      </w:r>
    </w:p>
    <w:p>
      <w:pPr>
        <w:spacing w:line="300" w:lineRule="auto"/>
        <w:ind w:firstLine="539"/>
        <w:rPr>
          <w:rFonts w:ascii="宋体" w:hAnsi="宋体"/>
          <w:szCs w:val="21"/>
        </w:rPr>
      </w:pPr>
      <w:r>
        <w:rPr>
          <w:rFonts w:hint="eastAsia" w:ascii="宋体" w:hAnsi="宋体"/>
          <w:szCs w:val="21"/>
        </w:rPr>
        <w:t>对投标方提交的检测结果、文件等进行审批，对存在的异议做出决定。</w:t>
      </w:r>
    </w:p>
    <w:p>
      <w:pPr>
        <w:spacing w:line="300" w:lineRule="auto"/>
        <w:ind w:firstLine="539"/>
        <w:rPr>
          <w:rFonts w:ascii="宋体"/>
          <w:szCs w:val="21"/>
        </w:rPr>
      </w:pPr>
      <w:r>
        <w:rPr>
          <w:rFonts w:hint="eastAsia" w:ascii="宋体" w:hAnsi="宋体"/>
          <w:szCs w:val="21"/>
        </w:rPr>
        <w:t>7</w:t>
      </w:r>
      <w:r>
        <w:rPr>
          <w:rFonts w:ascii="宋体" w:hAnsi="宋体"/>
          <w:szCs w:val="21"/>
        </w:rPr>
        <w:t>.2</w:t>
      </w:r>
      <w:r>
        <w:rPr>
          <w:rFonts w:hint="eastAsia" w:ascii="宋体" w:hAnsi="宋体"/>
          <w:szCs w:val="21"/>
        </w:rPr>
        <w:t>投标人的工作</w:t>
      </w:r>
    </w:p>
    <w:p>
      <w:pPr>
        <w:spacing w:line="300" w:lineRule="auto"/>
        <w:ind w:firstLine="539"/>
        <w:rPr>
          <w:rFonts w:ascii="宋体" w:hAnsi="宋体"/>
          <w:szCs w:val="21"/>
        </w:rPr>
      </w:pPr>
      <w:r>
        <w:rPr>
          <w:rFonts w:hint="eastAsia" w:ascii="宋体" w:hAnsi="宋体"/>
          <w:szCs w:val="21"/>
        </w:rPr>
        <w:t>投标方承担相应工作过程全部责任，包括所有风险、现场管理人员及作业人员生命安全、财产等。</w:t>
      </w:r>
    </w:p>
    <w:p>
      <w:pPr>
        <w:spacing w:line="300" w:lineRule="auto"/>
        <w:ind w:firstLine="539"/>
        <w:rPr>
          <w:rFonts w:ascii="宋体" w:hAnsi="宋体"/>
          <w:szCs w:val="21"/>
        </w:rPr>
      </w:pPr>
      <w:r>
        <w:rPr>
          <w:rFonts w:hint="eastAsia" w:ascii="宋体" w:hAnsi="宋体"/>
          <w:szCs w:val="21"/>
        </w:rPr>
        <w:t>投标方必须具有履行本合同书所需的资质及相关技能，必须按照无损检测的相关规范、规程、职业准则完成全部检测工作。</w:t>
      </w:r>
    </w:p>
    <w:p>
      <w:pPr>
        <w:spacing w:line="300" w:lineRule="auto"/>
        <w:ind w:firstLine="539"/>
        <w:rPr>
          <w:rFonts w:ascii="宋体" w:hAnsi="宋体"/>
          <w:szCs w:val="21"/>
        </w:rPr>
      </w:pPr>
      <w:r>
        <w:rPr>
          <w:rFonts w:hint="eastAsia" w:ascii="宋体" w:hAnsi="宋体"/>
          <w:szCs w:val="21"/>
        </w:rPr>
        <w:t>投标方必须按规定派出具有相应无损检测资格、并能按期完成检测工作所需的检测人员。</w:t>
      </w:r>
    </w:p>
    <w:p>
      <w:pPr>
        <w:spacing w:line="300" w:lineRule="auto"/>
        <w:ind w:firstLine="539"/>
        <w:rPr>
          <w:rFonts w:ascii="宋体" w:hAnsi="宋体"/>
          <w:szCs w:val="21"/>
        </w:rPr>
      </w:pPr>
      <w:r>
        <w:rPr>
          <w:rFonts w:hint="eastAsia" w:ascii="宋体" w:hAnsi="宋体"/>
          <w:szCs w:val="21"/>
        </w:rPr>
        <w:t>检测工作应在本合同规定的期限内完成。为保证检测的有效实施，受托人在该期限内可以作出合理调整；受托人派驻现场检测人员应连续稳定，保证检测工作顺利进行。若需更换现场检测人员，应取得委托人同意，其中主要检测人员的更换必须经委托人同意。</w:t>
      </w:r>
    </w:p>
    <w:p>
      <w:pPr>
        <w:spacing w:line="300" w:lineRule="auto"/>
        <w:ind w:firstLine="539"/>
        <w:rPr>
          <w:rFonts w:ascii="宋体" w:hAnsi="宋体"/>
          <w:szCs w:val="21"/>
        </w:rPr>
      </w:pPr>
      <w:r>
        <w:rPr>
          <w:rFonts w:hint="eastAsia" w:ascii="宋体" w:hAnsi="宋体"/>
          <w:szCs w:val="21"/>
        </w:rPr>
        <w:t>投标方对相关项目的检测质量应满足国家、电力行业标准和委托人《作业指导书》要求；根据委托人要求按时完成每天的检测工作，确保委托人施工进度。对检测项目填写检测结果通知单、出具检测报告，并按照委托人要求进行资料归档。</w:t>
      </w:r>
    </w:p>
    <w:p>
      <w:pPr>
        <w:spacing w:line="300" w:lineRule="auto"/>
        <w:ind w:firstLine="539"/>
        <w:rPr>
          <w:rFonts w:ascii="宋体" w:hAnsi="宋体"/>
          <w:szCs w:val="21"/>
        </w:rPr>
      </w:pPr>
      <w:r>
        <w:rPr>
          <w:rFonts w:hint="eastAsia" w:ascii="宋体" w:hAnsi="宋体"/>
          <w:szCs w:val="21"/>
        </w:rPr>
        <w:t>投标方在检测过程中，不得泄漏委托人的企业机密。</w:t>
      </w:r>
    </w:p>
    <w:p>
      <w:pPr>
        <w:spacing w:line="300" w:lineRule="auto"/>
        <w:ind w:firstLine="539"/>
        <w:rPr>
          <w:rFonts w:ascii="宋体" w:hAnsi="宋体"/>
          <w:szCs w:val="21"/>
        </w:rPr>
      </w:pPr>
      <w:r>
        <w:rPr>
          <w:rFonts w:hint="eastAsia" w:ascii="宋体" w:hAnsi="宋体"/>
          <w:szCs w:val="21"/>
        </w:rPr>
        <w:t>投标方必须承诺，进驻施工现场人员，须严守当地治安条例。若发生纠纷，受托人必须配合委托人积极处理。</w:t>
      </w:r>
    </w:p>
    <w:p>
      <w:pPr>
        <w:pStyle w:val="2"/>
        <w:spacing w:before="312" w:after="156"/>
      </w:pPr>
      <w:bookmarkStart w:id="11" w:name="_Toc27498"/>
      <w:r>
        <w:t>8.</w:t>
      </w:r>
      <w:r>
        <w:rPr>
          <w:rFonts w:hint="eastAsia"/>
        </w:rPr>
        <w:t>竣工资料</w:t>
      </w:r>
      <w:bookmarkEnd w:id="11"/>
    </w:p>
    <w:p>
      <w:pPr>
        <w:adjustRightInd w:val="0"/>
        <w:snapToGrid w:val="0"/>
        <w:spacing w:line="440" w:lineRule="exact"/>
        <w:ind w:firstLine="420" w:firstLineChars="200"/>
        <w:rPr>
          <w:rFonts w:ascii="宋体" w:hAnsi="宋体"/>
          <w:szCs w:val="21"/>
        </w:rPr>
      </w:pPr>
      <w:r>
        <w:rPr>
          <w:rFonts w:hint="eastAsia" w:ascii="宋体" w:hAnsi="宋体"/>
          <w:szCs w:val="21"/>
        </w:rPr>
        <w:t>做好检测记录，检测完毕后提交分析报告和处理方案，10个工作日内出具正式检测报告。</w:t>
      </w:r>
    </w:p>
    <w:p>
      <w:pPr>
        <w:adjustRightInd w:val="0"/>
        <w:snapToGrid w:val="0"/>
        <w:spacing w:line="440" w:lineRule="exact"/>
        <w:ind w:firstLine="420" w:firstLineChars="200"/>
        <w:rPr>
          <w:rFonts w:ascii="宋体" w:hAnsi="宋体"/>
          <w:szCs w:val="21"/>
        </w:rPr>
      </w:pPr>
      <w:r>
        <w:rPr>
          <w:rFonts w:hint="eastAsia" w:ascii="宋体" w:hAnsi="宋体"/>
          <w:szCs w:val="21"/>
        </w:rPr>
        <w:t>按照招标方要求对受检管排的编排方式，对管道弯头编号，并对管道弯头编号顺序逐根对其检测、记录，记录形式配合招标方金属技术监督台账格式要求完善，要求记录清晰明白，能够对比历次检测的记录数据，有利于招标方开展金属技术监督分析工作；</w:t>
      </w:r>
    </w:p>
    <w:p>
      <w:pPr>
        <w:adjustRightInd w:val="0"/>
        <w:snapToGrid w:val="0"/>
        <w:spacing w:line="440" w:lineRule="exact"/>
        <w:ind w:firstLine="420" w:firstLineChars="200"/>
        <w:rPr>
          <w:rFonts w:ascii="宋体" w:hAnsi="宋体"/>
          <w:szCs w:val="21"/>
        </w:rPr>
      </w:pPr>
    </w:p>
    <w:p>
      <w:pPr>
        <w:pStyle w:val="2"/>
        <w:spacing w:before="312" w:after="156"/>
      </w:pPr>
      <w:bookmarkStart w:id="12" w:name="_Toc16302"/>
      <w:r>
        <w:t>9.</w:t>
      </w:r>
      <w:r>
        <w:rPr>
          <w:rFonts w:hint="eastAsia"/>
        </w:rPr>
        <w:t>工程验收</w:t>
      </w:r>
      <w:bookmarkEnd w:id="12"/>
    </w:p>
    <w:p>
      <w:pPr>
        <w:spacing w:line="300" w:lineRule="auto"/>
        <w:ind w:firstLine="539"/>
        <w:rPr>
          <w:rFonts w:ascii="宋体" w:hAnsi="宋体"/>
          <w:szCs w:val="21"/>
        </w:rPr>
      </w:pPr>
      <w:r>
        <w:rPr>
          <w:rFonts w:ascii="宋体" w:hAnsi="宋体"/>
          <w:szCs w:val="21"/>
        </w:rPr>
        <w:t>9.1</w:t>
      </w:r>
      <w:r>
        <w:rPr>
          <w:rFonts w:hint="eastAsia" w:ascii="宋体" w:hAnsi="宋体"/>
          <w:szCs w:val="21"/>
        </w:rPr>
        <w:t>验收方式及要求。</w:t>
      </w:r>
    </w:p>
    <w:p>
      <w:pPr>
        <w:spacing w:line="300" w:lineRule="auto"/>
        <w:ind w:firstLine="539"/>
        <w:rPr>
          <w:rFonts w:ascii="宋体"/>
          <w:szCs w:val="21"/>
        </w:rPr>
      </w:pPr>
      <w:r>
        <w:rPr>
          <w:rFonts w:hint="eastAsia" w:ascii="宋体"/>
          <w:szCs w:val="21"/>
        </w:rPr>
        <w:t>采用现场方式验收，招标方有权对检测结果进行割管抽查，若发现与检测结果不符或偏差太大，影响设备稳定的判断（如启机后因氧化皮堆积导致锅炉受热面管爆管），有权提出考核并追究进一步责任；</w:t>
      </w:r>
    </w:p>
    <w:p>
      <w:pPr>
        <w:spacing w:line="300" w:lineRule="auto"/>
        <w:ind w:firstLine="539"/>
        <w:rPr>
          <w:rFonts w:ascii="宋体"/>
          <w:szCs w:val="21"/>
        </w:rPr>
      </w:pPr>
      <w:r>
        <w:rPr>
          <w:rFonts w:hint="eastAsia" w:ascii="宋体"/>
          <w:szCs w:val="21"/>
        </w:rPr>
        <w:t>现场检验工作全部完成，提交正式检验报告。</w:t>
      </w:r>
    </w:p>
    <w:p>
      <w:pPr>
        <w:spacing w:line="300" w:lineRule="auto"/>
        <w:ind w:firstLine="539"/>
        <w:rPr>
          <w:rFonts w:ascii="宋体" w:hAnsi="宋体"/>
          <w:szCs w:val="21"/>
        </w:rPr>
      </w:pPr>
      <w:r>
        <w:rPr>
          <w:rFonts w:ascii="宋体" w:hAnsi="宋体"/>
          <w:szCs w:val="21"/>
        </w:rPr>
        <w:t>9.</w:t>
      </w:r>
      <w:r>
        <w:rPr>
          <w:rFonts w:hint="eastAsia" w:ascii="宋体" w:hAnsi="宋体"/>
          <w:szCs w:val="21"/>
        </w:rPr>
        <w:t>2交货移交。</w:t>
      </w:r>
    </w:p>
    <w:p>
      <w:pPr>
        <w:spacing w:line="300" w:lineRule="auto"/>
        <w:ind w:firstLine="539"/>
        <w:rPr>
          <w:rFonts w:ascii="宋体"/>
          <w:szCs w:val="21"/>
        </w:rPr>
      </w:pPr>
      <w:r>
        <w:rPr>
          <w:rFonts w:hint="eastAsia" w:ascii="宋体"/>
          <w:szCs w:val="21"/>
        </w:rPr>
        <w:t>投标方必须在招标方规定的时间内，完成高温受热面受热面不锈钢管弯头处氧化物检测工作，如果不能按期完成任务，由此造成的损失由投标方承担。</w:t>
      </w:r>
    </w:p>
    <w:p>
      <w:pPr>
        <w:spacing w:line="300" w:lineRule="auto"/>
        <w:ind w:firstLine="539"/>
        <w:rPr>
          <w:rFonts w:hint="eastAsia" w:ascii="宋体" w:hAnsi="宋体"/>
          <w:szCs w:val="21"/>
        </w:rPr>
      </w:pPr>
      <w:r>
        <w:rPr>
          <w:rFonts w:ascii="宋体" w:hAnsi="宋体"/>
          <w:szCs w:val="21"/>
        </w:rPr>
        <w:t>9.</w:t>
      </w:r>
      <w:r>
        <w:rPr>
          <w:rFonts w:hint="eastAsia" w:ascii="宋体" w:hAnsi="宋体"/>
          <w:szCs w:val="21"/>
        </w:rPr>
        <w:t>3电厂收到检验报告后，办理《项目竣工验收单》。</w:t>
      </w:r>
    </w:p>
    <w:p>
      <w:pPr>
        <w:spacing w:line="300" w:lineRule="auto"/>
        <w:ind w:firstLine="539"/>
        <w:rPr>
          <w:rFonts w:hint="eastAsia" w:ascii="宋体" w:hAnsi="宋体"/>
          <w:szCs w:val="21"/>
        </w:rPr>
      </w:pPr>
    </w:p>
    <w:p>
      <w:pPr>
        <w:spacing w:line="300" w:lineRule="auto"/>
        <w:ind w:firstLine="539"/>
        <w:rPr>
          <w:rFonts w:hint="eastAsia" w:ascii="宋体" w:hAnsi="宋体"/>
          <w:szCs w:val="21"/>
        </w:rPr>
      </w:pPr>
    </w:p>
    <w:p>
      <w:pPr>
        <w:pStyle w:val="2"/>
        <w:spacing w:before="312" w:after="156"/>
      </w:pPr>
      <w:bookmarkStart w:id="13" w:name="_Toc1192"/>
      <w:r>
        <w:rPr>
          <w:rFonts w:hint="eastAsia"/>
        </w:rPr>
        <w:t>10.质量要求及考核</w:t>
      </w:r>
      <w:bookmarkEnd w:id="13"/>
    </w:p>
    <w:p>
      <w:pPr>
        <w:adjustRightInd w:val="0"/>
        <w:snapToGrid w:val="0"/>
        <w:spacing w:line="360" w:lineRule="auto"/>
        <w:rPr>
          <w:rFonts w:ascii="宋体" w:hAnsi="宋体"/>
          <w:szCs w:val="21"/>
        </w:rPr>
      </w:pPr>
      <w:r>
        <w:rPr>
          <w:rFonts w:hint="eastAsia" w:ascii="宋体" w:hAnsi="宋体"/>
          <w:szCs w:val="21"/>
        </w:rPr>
        <w:t>设备检修工程管理</w:t>
      </w:r>
    </w:p>
    <w:tbl>
      <w:tblPr>
        <w:tblStyle w:val="16"/>
        <w:tblW w:w="96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102"/>
        <w:gridCol w:w="2775"/>
        <w:gridCol w:w="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tblHeader/>
          <w:jc w:val="center"/>
        </w:trPr>
        <w:tc>
          <w:tcPr>
            <w:tcW w:w="754" w:type="dxa"/>
            <w:vAlign w:val="center"/>
          </w:tcPr>
          <w:p>
            <w:pPr>
              <w:tabs>
                <w:tab w:val="left" w:pos="585"/>
              </w:tabs>
              <w:ind w:left="-124" w:leftChars="-59"/>
              <w:jc w:val="center"/>
              <w:rPr>
                <w:rFonts w:ascii="宋体" w:hAnsi="宋体"/>
                <w:b/>
                <w:sz w:val="18"/>
                <w:szCs w:val="18"/>
              </w:rPr>
            </w:pPr>
            <w:r>
              <w:rPr>
                <w:rFonts w:hint="eastAsia" w:ascii="宋体" w:hAnsi="宋体"/>
                <w:b/>
                <w:sz w:val="18"/>
                <w:szCs w:val="18"/>
              </w:rPr>
              <w:t>序号</w:t>
            </w:r>
          </w:p>
        </w:tc>
        <w:tc>
          <w:tcPr>
            <w:tcW w:w="5102" w:type="dxa"/>
            <w:vAlign w:val="center"/>
          </w:tcPr>
          <w:p>
            <w:pPr>
              <w:jc w:val="center"/>
              <w:rPr>
                <w:rFonts w:ascii="宋体" w:hAnsi="宋体"/>
                <w:b/>
                <w:sz w:val="18"/>
                <w:szCs w:val="18"/>
              </w:rPr>
            </w:pPr>
            <w:r>
              <w:rPr>
                <w:rFonts w:hint="eastAsia" w:ascii="宋体" w:hAnsi="宋体"/>
                <w:b/>
                <w:sz w:val="18"/>
                <w:szCs w:val="18"/>
              </w:rPr>
              <w:t>考核项目</w:t>
            </w:r>
          </w:p>
        </w:tc>
        <w:tc>
          <w:tcPr>
            <w:tcW w:w="2775" w:type="dxa"/>
            <w:vAlign w:val="center"/>
          </w:tcPr>
          <w:p>
            <w:pPr>
              <w:jc w:val="center"/>
              <w:rPr>
                <w:rFonts w:ascii="宋体" w:hAnsi="宋体"/>
                <w:b/>
                <w:sz w:val="18"/>
                <w:szCs w:val="18"/>
              </w:rPr>
            </w:pPr>
            <w:r>
              <w:rPr>
                <w:rFonts w:hint="eastAsia" w:ascii="宋体" w:hAnsi="宋体"/>
                <w:b/>
                <w:sz w:val="18"/>
                <w:szCs w:val="18"/>
              </w:rPr>
              <w:t>考核标准</w:t>
            </w:r>
          </w:p>
        </w:tc>
        <w:tc>
          <w:tcPr>
            <w:tcW w:w="974" w:type="dxa"/>
            <w:vAlign w:val="center"/>
          </w:tcPr>
          <w:p>
            <w:pPr>
              <w:jc w:val="center"/>
              <w:rPr>
                <w:rFonts w:ascii="宋体" w:hAnsi="宋体"/>
                <w:b/>
                <w:sz w:val="18"/>
                <w:szCs w:val="18"/>
              </w:rPr>
            </w:pPr>
            <w:r>
              <w:rPr>
                <w:rFonts w:hint="eastAsia" w:ascii="宋体" w:hAnsi="宋体"/>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b/>
                <w:sz w:val="18"/>
                <w:szCs w:val="18"/>
              </w:rPr>
            </w:pPr>
            <w:r>
              <w:rPr>
                <w:rFonts w:hint="eastAsia" w:ascii="宋体" w:hAnsi="宋体"/>
                <w:b/>
                <w:sz w:val="18"/>
                <w:szCs w:val="18"/>
              </w:rPr>
              <w:t>一</w:t>
            </w:r>
          </w:p>
        </w:tc>
        <w:tc>
          <w:tcPr>
            <w:tcW w:w="5102" w:type="dxa"/>
            <w:vAlign w:val="center"/>
          </w:tcPr>
          <w:p>
            <w:pPr>
              <w:jc w:val="left"/>
              <w:rPr>
                <w:rFonts w:ascii="宋体" w:hAnsi="宋体"/>
                <w:b/>
                <w:sz w:val="18"/>
                <w:szCs w:val="18"/>
              </w:rPr>
            </w:pPr>
            <w:r>
              <w:rPr>
                <w:rFonts w:hint="eastAsia" w:ascii="宋体" w:hAnsi="宋体"/>
                <w:b/>
                <w:sz w:val="18"/>
                <w:szCs w:val="18"/>
              </w:rPr>
              <w:t>项目组织管理</w:t>
            </w:r>
          </w:p>
        </w:tc>
        <w:tc>
          <w:tcPr>
            <w:tcW w:w="2775" w:type="dxa"/>
            <w:vAlign w:val="center"/>
          </w:tcPr>
          <w:p>
            <w:pPr>
              <w:jc w:val="left"/>
              <w:rPr>
                <w:rFonts w:ascii="宋体" w:hAnsi="宋体"/>
                <w:b/>
                <w:sz w:val="18"/>
                <w:szCs w:val="18"/>
              </w:rPr>
            </w:pP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b/>
                <w:sz w:val="18"/>
                <w:szCs w:val="18"/>
              </w:rPr>
            </w:pPr>
            <w:r>
              <w:rPr>
                <w:rFonts w:hint="eastAsia" w:ascii="宋体" w:hAnsi="宋体"/>
                <w:b/>
                <w:sz w:val="18"/>
                <w:szCs w:val="18"/>
              </w:rPr>
              <w:t>（一）</w:t>
            </w:r>
          </w:p>
        </w:tc>
        <w:tc>
          <w:tcPr>
            <w:tcW w:w="5102" w:type="dxa"/>
            <w:vAlign w:val="center"/>
          </w:tcPr>
          <w:p>
            <w:pPr>
              <w:jc w:val="left"/>
              <w:rPr>
                <w:rFonts w:ascii="宋体" w:hAnsi="宋体"/>
                <w:b/>
                <w:sz w:val="18"/>
                <w:szCs w:val="18"/>
              </w:rPr>
            </w:pPr>
            <w:r>
              <w:rPr>
                <w:rFonts w:hint="eastAsia" w:ascii="宋体" w:hAnsi="宋体"/>
                <w:b/>
                <w:sz w:val="18"/>
                <w:szCs w:val="18"/>
              </w:rPr>
              <w:t>项目组织体系管理</w:t>
            </w:r>
          </w:p>
        </w:tc>
        <w:tc>
          <w:tcPr>
            <w:tcW w:w="2775" w:type="dxa"/>
            <w:vAlign w:val="center"/>
          </w:tcPr>
          <w:p>
            <w:pPr>
              <w:jc w:val="left"/>
              <w:rPr>
                <w:rFonts w:ascii="宋体" w:hAnsi="宋体"/>
                <w:b/>
                <w:sz w:val="18"/>
                <w:szCs w:val="18"/>
              </w:rPr>
            </w:pP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3"/>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检修组织管理机构未设立或不符合招标方管理要求的。</w:t>
            </w:r>
          </w:p>
        </w:tc>
        <w:tc>
          <w:tcPr>
            <w:tcW w:w="2775" w:type="dxa"/>
            <w:vAlign w:val="center"/>
          </w:tcPr>
          <w:p>
            <w:pPr>
              <w:rPr>
                <w:rFonts w:ascii="宋体" w:hAnsi="宋体"/>
                <w:sz w:val="18"/>
                <w:szCs w:val="18"/>
              </w:rPr>
            </w:pPr>
            <w:r>
              <w:rPr>
                <w:rFonts w:hint="eastAsia" w:ascii="宋体" w:hAnsi="宋体"/>
                <w:sz w:val="18"/>
                <w:szCs w:val="18"/>
              </w:rPr>
              <w:t>3000元/天；</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numPr>
                <w:ilvl w:val="0"/>
                <w:numId w:val="3"/>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因投标方原因导致机组检修不能按期开工或因投标方原因导致机组检修不能按期竣工并网。</w:t>
            </w:r>
          </w:p>
        </w:tc>
        <w:tc>
          <w:tcPr>
            <w:tcW w:w="2775" w:type="dxa"/>
            <w:vAlign w:val="center"/>
          </w:tcPr>
          <w:p>
            <w:pPr>
              <w:rPr>
                <w:rFonts w:ascii="宋体" w:hAnsi="宋体"/>
                <w:sz w:val="18"/>
                <w:szCs w:val="18"/>
              </w:rPr>
            </w:pPr>
            <w:r>
              <w:rPr>
                <w:rFonts w:hint="eastAsia" w:ascii="宋体" w:hAnsi="宋体"/>
                <w:sz w:val="18"/>
                <w:szCs w:val="18"/>
              </w:rPr>
              <w:t>20000/天</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3"/>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投标方被招标方认为安、健、环、质量管理体系混乱。</w:t>
            </w:r>
          </w:p>
        </w:tc>
        <w:tc>
          <w:tcPr>
            <w:tcW w:w="2775" w:type="dxa"/>
            <w:vAlign w:val="center"/>
          </w:tcPr>
          <w:p>
            <w:pPr>
              <w:rPr>
                <w:rFonts w:ascii="宋体" w:hAnsi="宋体"/>
                <w:sz w:val="18"/>
                <w:szCs w:val="18"/>
              </w:rPr>
            </w:pPr>
            <w:r>
              <w:rPr>
                <w:rFonts w:hint="eastAsia" w:ascii="宋体" w:hAnsi="宋体"/>
                <w:sz w:val="18"/>
                <w:szCs w:val="18"/>
              </w:rPr>
              <w:t>2000元/次，拒不整改或整改不及时加倍考核；</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3"/>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投标方项目负责人或指定人员缺席或未准时参加招标方要求参加的检修协调会、事故分析会。</w:t>
            </w:r>
          </w:p>
        </w:tc>
        <w:tc>
          <w:tcPr>
            <w:tcW w:w="2775" w:type="dxa"/>
            <w:vAlign w:val="center"/>
          </w:tcPr>
          <w:p>
            <w:pPr>
              <w:rPr>
                <w:rFonts w:ascii="宋体" w:hAnsi="宋体"/>
                <w:sz w:val="18"/>
                <w:szCs w:val="18"/>
              </w:rPr>
            </w:pPr>
            <w:r>
              <w:rPr>
                <w:rFonts w:hint="eastAsia" w:ascii="宋体" w:hAnsi="宋体"/>
                <w:sz w:val="18"/>
                <w:szCs w:val="18"/>
              </w:rPr>
              <w:t>200元/项.天；</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3"/>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招标方发生紧急事件，投标方不配合招标方临时安排的应急处理工作。</w:t>
            </w:r>
          </w:p>
        </w:tc>
        <w:tc>
          <w:tcPr>
            <w:tcW w:w="2775" w:type="dxa"/>
            <w:vAlign w:val="center"/>
          </w:tcPr>
          <w:p>
            <w:pPr>
              <w:rPr>
                <w:rFonts w:ascii="宋体" w:hAnsi="宋体"/>
                <w:sz w:val="18"/>
                <w:szCs w:val="18"/>
              </w:rPr>
            </w:pPr>
            <w:r>
              <w:rPr>
                <w:rFonts w:ascii="宋体" w:hAnsi="宋体"/>
                <w:sz w:val="18"/>
                <w:szCs w:val="18"/>
              </w:rPr>
              <w:t>2</w:t>
            </w:r>
            <w:r>
              <w:rPr>
                <w:rFonts w:hint="eastAsia" w:ascii="宋体" w:hAnsi="宋体"/>
                <w:sz w:val="18"/>
                <w:szCs w:val="18"/>
              </w:rPr>
              <w:t>00～2000元/次；</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3"/>
              </w:numPr>
              <w:tabs>
                <w:tab w:val="left" w:pos="585"/>
              </w:tabs>
              <w:ind w:left="-124" w:leftChars="-59" w:firstLine="0"/>
              <w:jc w:val="center"/>
              <w:rPr>
                <w:rFonts w:ascii="宋体" w:hAnsi="宋体"/>
                <w:sz w:val="18"/>
                <w:szCs w:val="18"/>
              </w:rPr>
            </w:pPr>
          </w:p>
        </w:tc>
        <w:tc>
          <w:tcPr>
            <w:tcW w:w="5102" w:type="dxa"/>
            <w:vAlign w:val="center"/>
          </w:tcPr>
          <w:p>
            <w:pPr>
              <w:jc w:val="left"/>
              <w:outlineLvl w:val="1"/>
              <w:rPr>
                <w:rFonts w:ascii="宋体" w:hAnsi="宋体"/>
                <w:sz w:val="18"/>
                <w:szCs w:val="18"/>
              </w:rPr>
            </w:pPr>
            <w:bookmarkStart w:id="14" w:name="_Toc478717979"/>
            <w:bookmarkStart w:id="15" w:name="_Toc28889"/>
            <w:r>
              <w:rPr>
                <w:rFonts w:hint="eastAsia" w:ascii="宋体" w:hAnsi="宋体"/>
                <w:sz w:val="18"/>
                <w:szCs w:val="18"/>
              </w:rPr>
              <w:t>投标方因资源投入或管理不善等原因未按计划进度完成检修工作，影响整体进度安排的。</w:t>
            </w:r>
            <w:bookmarkEnd w:id="14"/>
            <w:bookmarkEnd w:id="15"/>
          </w:p>
        </w:tc>
        <w:tc>
          <w:tcPr>
            <w:tcW w:w="2775" w:type="dxa"/>
            <w:vAlign w:val="center"/>
          </w:tcPr>
          <w:p>
            <w:pPr>
              <w:jc w:val="left"/>
              <w:outlineLvl w:val="1"/>
              <w:rPr>
                <w:rFonts w:ascii="宋体" w:hAnsi="宋体"/>
                <w:sz w:val="18"/>
                <w:szCs w:val="18"/>
              </w:rPr>
            </w:pPr>
            <w:bookmarkStart w:id="16" w:name="_Toc478717980"/>
            <w:bookmarkStart w:id="17" w:name="_Toc14744"/>
            <w:r>
              <w:rPr>
                <w:rFonts w:hint="eastAsia" w:ascii="宋体" w:hAnsi="宋体"/>
                <w:sz w:val="18"/>
                <w:szCs w:val="18"/>
              </w:rPr>
              <w:t>200～1000元/项；</w:t>
            </w:r>
            <w:bookmarkEnd w:id="16"/>
            <w:bookmarkEnd w:id="17"/>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3"/>
              </w:numPr>
              <w:tabs>
                <w:tab w:val="left" w:pos="585"/>
              </w:tabs>
              <w:ind w:left="-124" w:leftChars="-59" w:firstLine="0"/>
              <w:jc w:val="center"/>
              <w:rPr>
                <w:rFonts w:ascii="宋体" w:hAnsi="宋体"/>
                <w:sz w:val="18"/>
                <w:szCs w:val="18"/>
              </w:rPr>
            </w:pPr>
          </w:p>
        </w:tc>
        <w:tc>
          <w:tcPr>
            <w:tcW w:w="5102" w:type="dxa"/>
            <w:vAlign w:val="center"/>
          </w:tcPr>
          <w:p>
            <w:pPr>
              <w:jc w:val="left"/>
              <w:outlineLvl w:val="1"/>
              <w:rPr>
                <w:rFonts w:ascii="宋体" w:hAnsi="宋体"/>
                <w:sz w:val="18"/>
                <w:szCs w:val="18"/>
              </w:rPr>
            </w:pPr>
            <w:bookmarkStart w:id="18" w:name="_Toc478717981"/>
            <w:bookmarkStart w:id="19" w:name="_Toc15193"/>
            <w:r>
              <w:rPr>
                <w:rFonts w:hint="eastAsia" w:ascii="宋体" w:hAnsi="宋体"/>
                <w:sz w:val="18"/>
                <w:szCs w:val="18"/>
              </w:rPr>
              <w:t>投标方因自备工器具准备不足导致检修延误。</w:t>
            </w:r>
            <w:bookmarkEnd w:id="18"/>
            <w:bookmarkEnd w:id="19"/>
          </w:p>
        </w:tc>
        <w:tc>
          <w:tcPr>
            <w:tcW w:w="2775" w:type="dxa"/>
            <w:vAlign w:val="center"/>
          </w:tcPr>
          <w:p>
            <w:pPr>
              <w:jc w:val="left"/>
              <w:outlineLvl w:val="1"/>
              <w:rPr>
                <w:rFonts w:ascii="宋体" w:hAnsi="宋体"/>
                <w:sz w:val="18"/>
                <w:szCs w:val="18"/>
              </w:rPr>
            </w:pPr>
            <w:bookmarkStart w:id="20" w:name="_Toc478717982"/>
            <w:bookmarkStart w:id="21" w:name="_Toc22089"/>
            <w:r>
              <w:rPr>
                <w:rFonts w:ascii="宋体" w:hAnsi="宋体"/>
                <w:sz w:val="18"/>
                <w:szCs w:val="18"/>
              </w:rPr>
              <w:t>2</w:t>
            </w:r>
            <w:r>
              <w:rPr>
                <w:rFonts w:hint="eastAsia" w:ascii="宋体" w:hAnsi="宋体"/>
                <w:sz w:val="18"/>
                <w:szCs w:val="18"/>
              </w:rPr>
              <w:t>00～2000元/次。</w:t>
            </w:r>
            <w:bookmarkEnd w:id="20"/>
            <w:bookmarkEnd w:id="21"/>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b/>
                <w:sz w:val="18"/>
                <w:szCs w:val="18"/>
              </w:rPr>
            </w:pPr>
            <w:r>
              <w:rPr>
                <w:rFonts w:hint="eastAsia" w:ascii="宋体" w:hAnsi="宋体"/>
                <w:b/>
                <w:sz w:val="18"/>
                <w:szCs w:val="18"/>
              </w:rPr>
              <w:t>(二)</w:t>
            </w:r>
          </w:p>
        </w:tc>
        <w:tc>
          <w:tcPr>
            <w:tcW w:w="5102" w:type="dxa"/>
            <w:vAlign w:val="center"/>
          </w:tcPr>
          <w:p>
            <w:pPr>
              <w:jc w:val="left"/>
              <w:rPr>
                <w:rFonts w:ascii="宋体" w:hAnsi="宋体"/>
                <w:b/>
                <w:sz w:val="18"/>
                <w:szCs w:val="18"/>
              </w:rPr>
            </w:pPr>
            <w:r>
              <w:rPr>
                <w:rFonts w:hint="eastAsia" w:ascii="宋体" w:hAnsi="宋体"/>
                <w:b/>
                <w:sz w:val="18"/>
                <w:szCs w:val="18"/>
              </w:rPr>
              <w:t>人员管理</w:t>
            </w:r>
          </w:p>
        </w:tc>
        <w:tc>
          <w:tcPr>
            <w:tcW w:w="2775" w:type="dxa"/>
            <w:vAlign w:val="center"/>
          </w:tcPr>
          <w:p>
            <w:pPr>
              <w:jc w:val="left"/>
              <w:rPr>
                <w:rFonts w:ascii="宋体" w:hAnsi="宋体"/>
                <w:b/>
                <w:sz w:val="18"/>
                <w:szCs w:val="18"/>
              </w:rPr>
            </w:pP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sz w:val="18"/>
                <w:szCs w:val="18"/>
              </w:rPr>
            </w:pPr>
            <w:r>
              <w:rPr>
                <w:rFonts w:hint="eastAsia" w:ascii="宋体" w:hAnsi="宋体"/>
                <w:sz w:val="18"/>
                <w:szCs w:val="18"/>
              </w:rPr>
              <w:t>1</w:t>
            </w:r>
          </w:p>
        </w:tc>
        <w:tc>
          <w:tcPr>
            <w:tcW w:w="5102" w:type="dxa"/>
            <w:vAlign w:val="center"/>
          </w:tcPr>
          <w:p>
            <w:pPr>
              <w:jc w:val="left"/>
              <w:rPr>
                <w:rFonts w:ascii="宋体" w:hAnsi="宋体"/>
                <w:sz w:val="18"/>
                <w:szCs w:val="18"/>
              </w:rPr>
            </w:pPr>
            <w:r>
              <w:rPr>
                <w:rFonts w:hint="eastAsia" w:ascii="宋体" w:hAnsi="宋体"/>
                <w:sz w:val="18"/>
                <w:szCs w:val="18"/>
              </w:rPr>
              <w:t>投标方按合同要求配备人员，人员不到岗或配备资质不合格人员。</w:t>
            </w:r>
          </w:p>
        </w:tc>
        <w:tc>
          <w:tcPr>
            <w:tcW w:w="2775" w:type="dxa"/>
            <w:vAlign w:val="center"/>
          </w:tcPr>
          <w:p>
            <w:pPr>
              <w:jc w:val="left"/>
              <w:rPr>
                <w:rFonts w:ascii="宋体" w:hAnsi="宋体"/>
                <w:sz w:val="18"/>
                <w:szCs w:val="18"/>
              </w:rPr>
            </w:pPr>
            <w:r>
              <w:rPr>
                <w:rFonts w:hint="eastAsia" w:ascii="宋体" w:hAnsi="宋体"/>
                <w:sz w:val="18"/>
                <w:szCs w:val="18"/>
              </w:rPr>
              <w:t>200元/人.天；</w:t>
            </w: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sz w:val="18"/>
                <w:szCs w:val="18"/>
              </w:rPr>
            </w:pPr>
            <w:r>
              <w:rPr>
                <w:rFonts w:hint="eastAsia" w:ascii="宋体" w:hAnsi="宋体"/>
                <w:sz w:val="18"/>
                <w:szCs w:val="18"/>
              </w:rPr>
              <w:t>2</w:t>
            </w:r>
          </w:p>
        </w:tc>
        <w:tc>
          <w:tcPr>
            <w:tcW w:w="5102" w:type="dxa"/>
            <w:vAlign w:val="center"/>
          </w:tcPr>
          <w:p>
            <w:pPr>
              <w:jc w:val="left"/>
              <w:rPr>
                <w:rFonts w:ascii="宋体" w:hAnsi="宋体"/>
                <w:sz w:val="18"/>
                <w:szCs w:val="18"/>
              </w:rPr>
            </w:pPr>
            <w:r>
              <w:rPr>
                <w:rFonts w:hint="eastAsia" w:ascii="宋体" w:hAnsi="宋体"/>
                <w:sz w:val="18"/>
                <w:szCs w:val="18"/>
              </w:rPr>
              <w:t>投标方人员调动和调整未经过招标方审核同意或未及时补充人员。</w:t>
            </w:r>
          </w:p>
        </w:tc>
        <w:tc>
          <w:tcPr>
            <w:tcW w:w="2775" w:type="dxa"/>
            <w:vAlign w:val="center"/>
          </w:tcPr>
          <w:p>
            <w:pPr>
              <w:jc w:val="left"/>
              <w:rPr>
                <w:rFonts w:ascii="宋体" w:hAnsi="宋体"/>
                <w:sz w:val="18"/>
                <w:szCs w:val="18"/>
              </w:rPr>
            </w:pPr>
            <w:r>
              <w:rPr>
                <w:rFonts w:hint="eastAsia" w:ascii="宋体" w:hAnsi="宋体"/>
                <w:sz w:val="18"/>
                <w:szCs w:val="18"/>
              </w:rPr>
              <w:t>200元/人.天；</w:t>
            </w: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sz w:val="18"/>
                <w:szCs w:val="18"/>
              </w:rPr>
            </w:pPr>
            <w:r>
              <w:rPr>
                <w:rFonts w:hint="eastAsia" w:ascii="宋体" w:hAnsi="宋体"/>
                <w:sz w:val="18"/>
                <w:szCs w:val="18"/>
              </w:rPr>
              <w:t>3</w:t>
            </w:r>
          </w:p>
        </w:tc>
        <w:tc>
          <w:tcPr>
            <w:tcW w:w="5102" w:type="dxa"/>
            <w:vAlign w:val="center"/>
          </w:tcPr>
          <w:p>
            <w:pPr>
              <w:jc w:val="left"/>
              <w:rPr>
                <w:rFonts w:ascii="宋体" w:hAnsi="宋体"/>
                <w:sz w:val="18"/>
                <w:szCs w:val="18"/>
              </w:rPr>
            </w:pPr>
            <w:r>
              <w:rPr>
                <w:rFonts w:hint="eastAsia" w:ascii="宋体" w:hAnsi="宋体"/>
                <w:sz w:val="18"/>
                <w:szCs w:val="18"/>
              </w:rPr>
              <w:t>需专业资质的作业项目，投标方或投标方工作人员无证上岗或虚假资质或持过期资质证件。</w:t>
            </w:r>
          </w:p>
        </w:tc>
        <w:tc>
          <w:tcPr>
            <w:tcW w:w="2775" w:type="dxa"/>
            <w:vAlign w:val="center"/>
          </w:tcPr>
          <w:p>
            <w:pPr>
              <w:jc w:val="left"/>
              <w:rPr>
                <w:rFonts w:ascii="宋体" w:hAnsi="宋体"/>
                <w:sz w:val="18"/>
                <w:szCs w:val="18"/>
              </w:rPr>
            </w:pPr>
            <w:r>
              <w:rPr>
                <w:rFonts w:hint="eastAsia" w:ascii="宋体" w:hAnsi="宋体"/>
                <w:sz w:val="18"/>
                <w:szCs w:val="18"/>
              </w:rPr>
              <w:t>200元/次.人；</w:t>
            </w: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sz w:val="18"/>
                <w:szCs w:val="18"/>
              </w:rPr>
            </w:pPr>
            <w:r>
              <w:rPr>
                <w:rFonts w:hint="eastAsia" w:ascii="宋体" w:hAnsi="宋体"/>
                <w:sz w:val="18"/>
                <w:szCs w:val="18"/>
              </w:rPr>
              <w:t>4</w:t>
            </w:r>
          </w:p>
        </w:tc>
        <w:tc>
          <w:tcPr>
            <w:tcW w:w="5102" w:type="dxa"/>
            <w:vAlign w:val="center"/>
          </w:tcPr>
          <w:p>
            <w:pPr>
              <w:jc w:val="left"/>
              <w:outlineLvl w:val="1"/>
              <w:rPr>
                <w:rFonts w:ascii="宋体" w:hAnsi="宋体"/>
                <w:sz w:val="18"/>
                <w:szCs w:val="18"/>
              </w:rPr>
            </w:pPr>
            <w:bookmarkStart w:id="22" w:name="_Toc18515"/>
            <w:bookmarkStart w:id="23" w:name="_Toc478717983"/>
            <w:r>
              <w:rPr>
                <w:rFonts w:hint="eastAsia" w:ascii="宋体" w:hAnsi="宋体"/>
                <w:sz w:val="18"/>
                <w:szCs w:val="18"/>
              </w:rPr>
              <w:t>投标方有关负责人不如实汇报工作情况，或隐瞒事实真相。</w:t>
            </w:r>
            <w:bookmarkEnd w:id="22"/>
            <w:bookmarkEnd w:id="23"/>
          </w:p>
        </w:tc>
        <w:tc>
          <w:tcPr>
            <w:tcW w:w="2775" w:type="dxa"/>
            <w:vAlign w:val="center"/>
          </w:tcPr>
          <w:p>
            <w:pPr>
              <w:jc w:val="left"/>
              <w:outlineLvl w:val="1"/>
              <w:rPr>
                <w:rFonts w:ascii="宋体" w:hAnsi="宋体"/>
                <w:sz w:val="18"/>
                <w:szCs w:val="18"/>
              </w:rPr>
            </w:pPr>
            <w:bookmarkStart w:id="24" w:name="_Toc478717984"/>
            <w:bookmarkStart w:id="25" w:name="_Toc32598"/>
            <w:r>
              <w:rPr>
                <w:rFonts w:hint="eastAsia" w:ascii="宋体" w:hAnsi="宋体"/>
                <w:sz w:val="18"/>
                <w:szCs w:val="18"/>
              </w:rPr>
              <w:t>200～2000元/次。</w:t>
            </w:r>
            <w:bookmarkEnd w:id="24"/>
            <w:bookmarkEnd w:id="25"/>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b/>
                <w:sz w:val="18"/>
                <w:szCs w:val="18"/>
              </w:rPr>
            </w:pPr>
            <w:r>
              <w:rPr>
                <w:rFonts w:hint="eastAsia" w:ascii="宋体" w:hAnsi="宋体"/>
                <w:b/>
                <w:sz w:val="18"/>
                <w:szCs w:val="18"/>
              </w:rPr>
              <w:t>二</w:t>
            </w:r>
          </w:p>
        </w:tc>
        <w:tc>
          <w:tcPr>
            <w:tcW w:w="5102" w:type="dxa"/>
            <w:vAlign w:val="center"/>
          </w:tcPr>
          <w:p>
            <w:pPr>
              <w:jc w:val="left"/>
              <w:rPr>
                <w:rFonts w:ascii="宋体" w:hAnsi="宋体"/>
                <w:b/>
                <w:sz w:val="18"/>
                <w:szCs w:val="18"/>
              </w:rPr>
            </w:pPr>
            <w:r>
              <w:rPr>
                <w:rFonts w:hint="eastAsia" w:ascii="宋体" w:hAnsi="宋体"/>
                <w:b/>
                <w:sz w:val="18"/>
                <w:szCs w:val="18"/>
              </w:rPr>
              <w:t>设备维修管理与可靠性指标</w:t>
            </w:r>
          </w:p>
        </w:tc>
        <w:tc>
          <w:tcPr>
            <w:tcW w:w="2775" w:type="dxa"/>
            <w:vAlign w:val="center"/>
          </w:tcPr>
          <w:p>
            <w:pPr>
              <w:jc w:val="left"/>
              <w:rPr>
                <w:rFonts w:ascii="宋体" w:hAnsi="宋体"/>
                <w:sz w:val="18"/>
                <w:szCs w:val="18"/>
              </w:rPr>
            </w:pP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sz w:val="18"/>
                <w:szCs w:val="18"/>
              </w:rPr>
            </w:pPr>
            <w:r>
              <w:rPr>
                <w:rFonts w:hint="eastAsia" w:ascii="宋体" w:hAnsi="宋体"/>
                <w:b/>
                <w:sz w:val="18"/>
                <w:szCs w:val="18"/>
              </w:rPr>
              <w:t>（一）</w:t>
            </w:r>
          </w:p>
        </w:tc>
        <w:tc>
          <w:tcPr>
            <w:tcW w:w="5102" w:type="dxa"/>
            <w:vAlign w:val="center"/>
          </w:tcPr>
          <w:p>
            <w:pPr>
              <w:jc w:val="left"/>
              <w:rPr>
                <w:rFonts w:ascii="宋体" w:hAnsi="宋体"/>
                <w:sz w:val="18"/>
                <w:szCs w:val="18"/>
              </w:rPr>
            </w:pPr>
            <w:r>
              <w:rPr>
                <w:rFonts w:hint="eastAsia" w:ascii="宋体" w:hAnsi="宋体"/>
                <w:b/>
                <w:sz w:val="18"/>
                <w:szCs w:val="18"/>
              </w:rPr>
              <w:t>工作纪律、生产服务管理考核</w:t>
            </w:r>
          </w:p>
        </w:tc>
        <w:tc>
          <w:tcPr>
            <w:tcW w:w="2775" w:type="dxa"/>
            <w:vAlign w:val="center"/>
          </w:tcPr>
          <w:p>
            <w:pPr>
              <w:jc w:val="left"/>
              <w:rPr>
                <w:rFonts w:ascii="宋体" w:hAnsi="宋体"/>
                <w:sz w:val="18"/>
                <w:szCs w:val="18"/>
              </w:rPr>
            </w:pP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numPr>
                <w:ilvl w:val="0"/>
                <w:numId w:val="4"/>
              </w:numPr>
              <w:tabs>
                <w:tab w:val="left" w:pos="585"/>
              </w:tabs>
              <w:ind w:left="-124" w:leftChars="-59" w:firstLine="0"/>
              <w:jc w:val="center"/>
              <w:rPr>
                <w:rFonts w:ascii="宋体" w:hAnsi="宋体"/>
                <w:b/>
                <w:sz w:val="18"/>
                <w:szCs w:val="18"/>
              </w:rPr>
            </w:pPr>
          </w:p>
        </w:tc>
        <w:tc>
          <w:tcPr>
            <w:tcW w:w="5102" w:type="dxa"/>
            <w:vAlign w:val="center"/>
          </w:tcPr>
          <w:p>
            <w:pPr>
              <w:rPr>
                <w:rFonts w:ascii="宋体" w:hAnsi="宋体"/>
                <w:b/>
                <w:sz w:val="18"/>
                <w:szCs w:val="18"/>
              </w:rPr>
            </w:pPr>
            <w:r>
              <w:rPr>
                <w:rFonts w:hint="eastAsia" w:ascii="宋体" w:hAnsi="宋体"/>
                <w:sz w:val="18"/>
                <w:szCs w:val="18"/>
              </w:rPr>
              <w:t>投标方进入生产现场人员未配戴胸卡。</w:t>
            </w:r>
          </w:p>
        </w:tc>
        <w:tc>
          <w:tcPr>
            <w:tcW w:w="2775" w:type="dxa"/>
            <w:vAlign w:val="center"/>
          </w:tcPr>
          <w:p>
            <w:pPr>
              <w:jc w:val="left"/>
              <w:rPr>
                <w:rFonts w:ascii="宋体" w:hAnsi="宋体"/>
                <w:sz w:val="18"/>
                <w:szCs w:val="18"/>
              </w:rPr>
            </w:pPr>
            <w:r>
              <w:rPr>
                <w:rFonts w:hint="eastAsia" w:ascii="宋体" w:hAnsi="宋体"/>
                <w:sz w:val="18"/>
                <w:szCs w:val="18"/>
              </w:rPr>
              <w:t>50元/次/人；</w:t>
            </w: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numPr>
                <w:ilvl w:val="0"/>
                <w:numId w:val="4"/>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投标方工作人员上班时间饮酒者或酒后上班。</w:t>
            </w:r>
          </w:p>
        </w:tc>
        <w:tc>
          <w:tcPr>
            <w:tcW w:w="2775" w:type="dxa"/>
            <w:vAlign w:val="center"/>
          </w:tcPr>
          <w:p>
            <w:pPr>
              <w:jc w:val="left"/>
              <w:rPr>
                <w:rFonts w:ascii="宋体" w:hAnsi="宋体"/>
                <w:sz w:val="18"/>
                <w:szCs w:val="18"/>
              </w:rPr>
            </w:pPr>
            <w:r>
              <w:rPr>
                <w:rFonts w:hint="eastAsia" w:ascii="宋体" w:hAnsi="宋体"/>
                <w:sz w:val="18"/>
                <w:szCs w:val="18"/>
              </w:rPr>
              <w:t>500元/人.次；</w:t>
            </w: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numPr>
                <w:ilvl w:val="0"/>
                <w:numId w:val="4"/>
              </w:numPr>
              <w:tabs>
                <w:tab w:val="left" w:pos="585"/>
              </w:tabs>
              <w:ind w:left="-124" w:leftChars="-59" w:firstLine="0"/>
              <w:jc w:val="center"/>
              <w:rPr>
                <w:rFonts w:ascii="宋体" w:hAnsi="宋体"/>
                <w:sz w:val="18"/>
                <w:szCs w:val="18"/>
              </w:rPr>
            </w:pPr>
          </w:p>
        </w:tc>
        <w:tc>
          <w:tcPr>
            <w:tcW w:w="5102" w:type="dxa"/>
            <w:vAlign w:val="center"/>
          </w:tcPr>
          <w:p>
            <w:pPr>
              <w:jc w:val="left"/>
              <w:rPr>
                <w:rFonts w:ascii="宋体" w:hAnsi="宋体"/>
                <w:sz w:val="18"/>
                <w:szCs w:val="18"/>
              </w:rPr>
            </w:pPr>
            <w:r>
              <w:rPr>
                <w:rFonts w:hint="eastAsia" w:ascii="宋体" w:hAnsi="宋体"/>
                <w:sz w:val="18"/>
                <w:szCs w:val="18"/>
              </w:rPr>
              <w:t>未经有关部门批准，擅自将非本单位职工带入生产现场者。</w:t>
            </w:r>
          </w:p>
        </w:tc>
        <w:tc>
          <w:tcPr>
            <w:tcW w:w="2775" w:type="dxa"/>
            <w:vAlign w:val="center"/>
          </w:tcPr>
          <w:p>
            <w:pPr>
              <w:jc w:val="left"/>
              <w:rPr>
                <w:rFonts w:ascii="宋体" w:hAnsi="宋体"/>
                <w:sz w:val="18"/>
                <w:szCs w:val="18"/>
              </w:rPr>
            </w:pPr>
            <w:r>
              <w:rPr>
                <w:rFonts w:hint="eastAsia" w:ascii="宋体" w:hAnsi="宋体"/>
                <w:sz w:val="18"/>
                <w:szCs w:val="18"/>
              </w:rPr>
              <w:t>处罚300元/人.次；</w:t>
            </w: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numPr>
                <w:ilvl w:val="0"/>
                <w:numId w:val="4"/>
              </w:numPr>
              <w:tabs>
                <w:tab w:val="left" w:pos="585"/>
              </w:tabs>
              <w:ind w:left="-124" w:leftChars="-59" w:firstLine="0"/>
              <w:jc w:val="center"/>
              <w:rPr>
                <w:rFonts w:ascii="宋体" w:hAnsi="宋体"/>
                <w:sz w:val="18"/>
                <w:szCs w:val="18"/>
              </w:rPr>
            </w:pPr>
          </w:p>
        </w:tc>
        <w:tc>
          <w:tcPr>
            <w:tcW w:w="5102" w:type="dxa"/>
            <w:vAlign w:val="center"/>
          </w:tcPr>
          <w:p>
            <w:pPr>
              <w:jc w:val="left"/>
              <w:rPr>
                <w:rFonts w:ascii="宋体" w:hAnsi="宋体"/>
                <w:sz w:val="18"/>
                <w:szCs w:val="18"/>
              </w:rPr>
            </w:pPr>
            <w:r>
              <w:rPr>
                <w:rFonts w:hint="eastAsia" w:ascii="宋体" w:hAnsi="宋体"/>
                <w:sz w:val="18"/>
                <w:szCs w:val="18"/>
              </w:rPr>
              <w:t>违反规定擅自出入生产禁区；从非正常出入口出入厂区；出入不服从门卫管理、无理取闹者。</w:t>
            </w:r>
          </w:p>
        </w:tc>
        <w:tc>
          <w:tcPr>
            <w:tcW w:w="2775" w:type="dxa"/>
            <w:vAlign w:val="center"/>
          </w:tcPr>
          <w:p>
            <w:pPr>
              <w:jc w:val="left"/>
              <w:rPr>
                <w:rFonts w:ascii="宋体" w:hAnsi="宋体"/>
                <w:sz w:val="18"/>
                <w:szCs w:val="18"/>
              </w:rPr>
            </w:pPr>
            <w:r>
              <w:rPr>
                <w:rFonts w:hint="eastAsia" w:ascii="宋体" w:hAnsi="宋体"/>
                <w:sz w:val="18"/>
                <w:szCs w:val="18"/>
              </w:rPr>
              <w:t>处罚200元/人。</w:t>
            </w: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b/>
                <w:sz w:val="18"/>
                <w:szCs w:val="18"/>
              </w:rPr>
            </w:pPr>
            <w:r>
              <w:rPr>
                <w:rFonts w:hint="eastAsia" w:ascii="宋体" w:hAnsi="宋体"/>
                <w:b/>
                <w:sz w:val="18"/>
                <w:szCs w:val="18"/>
              </w:rPr>
              <w:t>（二）</w:t>
            </w:r>
          </w:p>
        </w:tc>
        <w:tc>
          <w:tcPr>
            <w:tcW w:w="5102" w:type="dxa"/>
            <w:vAlign w:val="center"/>
          </w:tcPr>
          <w:p>
            <w:pPr>
              <w:jc w:val="left"/>
              <w:rPr>
                <w:rFonts w:ascii="宋体" w:hAnsi="宋体"/>
                <w:b/>
                <w:sz w:val="18"/>
                <w:szCs w:val="18"/>
              </w:rPr>
            </w:pPr>
            <w:r>
              <w:rPr>
                <w:rFonts w:hint="eastAsia" w:ascii="宋体" w:hAnsi="宋体"/>
                <w:b/>
                <w:sz w:val="18"/>
                <w:szCs w:val="18"/>
              </w:rPr>
              <w:t>检修过程管理考核</w:t>
            </w:r>
          </w:p>
        </w:tc>
        <w:tc>
          <w:tcPr>
            <w:tcW w:w="2775" w:type="dxa"/>
            <w:vAlign w:val="center"/>
          </w:tcPr>
          <w:p>
            <w:pPr>
              <w:jc w:val="left"/>
              <w:rPr>
                <w:rFonts w:ascii="宋体" w:hAnsi="宋体"/>
                <w:b/>
                <w:sz w:val="18"/>
                <w:szCs w:val="18"/>
              </w:rPr>
            </w:pP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numPr>
                <w:ilvl w:val="0"/>
                <w:numId w:val="5"/>
              </w:numPr>
              <w:tabs>
                <w:tab w:val="left" w:pos="585"/>
              </w:tabs>
              <w:ind w:left="-124" w:leftChars="-59" w:firstLine="0"/>
              <w:jc w:val="center"/>
              <w:rPr>
                <w:rFonts w:ascii="宋体" w:hAnsi="宋体"/>
                <w:b/>
                <w:sz w:val="18"/>
                <w:szCs w:val="18"/>
              </w:rPr>
            </w:pPr>
          </w:p>
        </w:tc>
        <w:tc>
          <w:tcPr>
            <w:tcW w:w="5102" w:type="dxa"/>
            <w:vAlign w:val="center"/>
          </w:tcPr>
          <w:p>
            <w:pPr>
              <w:rPr>
                <w:rFonts w:ascii="宋体" w:hAnsi="宋体"/>
                <w:sz w:val="18"/>
                <w:szCs w:val="18"/>
              </w:rPr>
            </w:pPr>
            <w:r>
              <w:rPr>
                <w:rFonts w:hint="eastAsia" w:ascii="宋体" w:hAnsi="宋体"/>
                <w:sz w:val="18"/>
                <w:szCs w:val="18"/>
              </w:rPr>
              <w:t>投标方现场检修中对出现的违反《电业安全工作规程》行为 。</w:t>
            </w:r>
          </w:p>
        </w:tc>
        <w:tc>
          <w:tcPr>
            <w:tcW w:w="2775" w:type="dxa"/>
            <w:vAlign w:val="center"/>
          </w:tcPr>
          <w:p>
            <w:pPr>
              <w:rPr>
                <w:rFonts w:ascii="宋体" w:hAnsi="宋体"/>
                <w:sz w:val="18"/>
                <w:szCs w:val="18"/>
              </w:rPr>
            </w:pPr>
            <w:r>
              <w:rPr>
                <w:rFonts w:hint="eastAsia" w:ascii="宋体" w:hAnsi="宋体"/>
                <w:sz w:val="18"/>
                <w:szCs w:val="18"/>
              </w:rPr>
              <w:t>100～1000元／次；</w:t>
            </w:r>
          </w:p>
        </w:tc>
        <w:tc>
          <w:tcPr>
            <w:tcW w:w="974" w:type="dxa"/>
            <w:vAlign w:val="center"/>
          </w:tcPr>
          <w:p>
            <w:pPr>
              <w:jc w:val="left"/>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5"/>
              </w:numPr>
              <w:tabs>
                <w:tab w:val="left" w:pos="585"/>
              </w:tabs>
              <w:ind w:left="-124" w:leftChars="-59" w:firstLine="0"/>
              <w:jc w:val="center"/>
              <w:rPr>
                <w:rFonts w:ascii="宋体" w:hAnsi="宋体"/>
                <w:sz w:val="18"/>
                <w:szCs w:val="18"/>
              </w:rPr>
            </w:pPr>
          </w:p>
        </w:tc>
        <w:tc>
          <w:tcPr>
            <w:tcW w:w="5102" w:type="dxa"/>
            <w:vAlign w:val="center"/>
          </w:tcPr>
          <w:p>
            <w:pPr>
              <w:jc w:val="left"/>
              <w:rPr>
                <w:rFonts w:ascii="宋体" w:hAnsi="宋体"/>
                <w:sz w:val="18"/>
                <w:szCs w:val="18"/>
              </w:rPr>
            </w:pPr>
            <w:r>
              <w:rPr>
                <w:rFonts w:hint="eastAsia" w:ascii="宋体" w:hAnsi="宋体"/>
                <w:sz w:val="18"/>
                <w:szCs w:val="18"/>
              </w:rPr>
              <w:t>因投标方原因导致检修主控项目工作未按计划工期完成。</w:t>
            </w:r>
          </w:p>
        </w:tc>
        <w:tc>
          <w:tcPr>
            <w:tcW w:w="2775" w:type="dxa"/>
            <w:vAlign w:val="center"/>
          </w:tcPr>
          <w:p>
            <w:pPr>
              <w:jc w:val="left"/>
              <w:rPr>
                <w:rFonts w:ascii="宋体" w:hAnsi="宋体"/>
                <w:sz w:val="18"/>
                <w:szCs w:val="18"/>
              </w:rPr>
            </w:pPr>
            <w:r>
              <w:rPr>
                <w:rFonts w:hint="eastAsia" w:ascii="宋体" w:hAnsi="宋体"/>
                <w:sz w:val="18"/>
                <w:szCs w:val="18"/>
              </w:rPr>
              <w:t>延误处罚2万元/天；</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5"/>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投标方不按要求向招标方报送检修进度计划、施工组织设计、记录、报表等相关资料.</w:t>
            </w:r>
          </w:p>
        </w:tc>
        <w:tc>
          <w:tcPr>
            <w:tcW w:w="2775" w:type="dxa"/>
            <w:vAlign w:val="center"/>
          </w:tcPr>
          <w:p>
            <w:pPr>
              <w:rPr>
                <w:rFonts w:ascii="宋体" w:hAnsi="宋体"/>
                <w:sz w:val="18"/>
                <w:szCs w:val="18"/>
              </w:rPr>
            </w:pPr>
            <w:r>
              <w:rPr>
                <w:rFonts w:hint="eastAsia" w:ascii="宋体" w:hAnsi="宋体"/>
                <w:sz w:val="18"/>
                <w:szCs w:val="18"/>
              </w:rPr>
              <w:t>处罚100元/项.天；</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5"/>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设备或系统的检修原始记录不在现场填写。</w:t>
            </w:r>
          </w:p>
        </w:tc>
        <w:tc>
          <w:tcPr>
            <w:tcW w:w="2775" w:type="dxa"/>
            <w:vAlign w:val="center"/>
          </w:tcPr>
          <w:p>
            <w:pPr>
              <w:rPr>
                <w:rFonts w:ascii="宋体" w:hAnsi="宋体"/>
                <w:sz w:val="18"/>
                <w:szCs w:val="18"/>
              </w:rPr>
            </w:pPr>
            <w:r>
              <w:rPr>
                <w:rFonts w:hint="eastAsia" w:ascii="宋体" w:hAnsi="宋体"/>
                <w:sz w:val="18"/>
                <w:szCs w:val="18"/>
              </w:rPr>
              <w:t>处罚100元/项.次；</w:t>
            </w:r>
          </w:p>
        </w:tc>
        <w:tc>
          <w:tcPr>
            <w:tcW w:w="974" w:type="dxa"/>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5"/>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投标方人员未经许可进入运行区域（造成设备异常、事故者，根据招标方管理制度进行处罚）。</w:t>
            </w:r>
          </w:p>
        </w:tc>
        <w:tc>
          <w:tcPr>
            <w:tcW w:w="2775" w:type="dxa"/>
            <w:vAlign w:val="center"/>
          </w:tcPr>
          <w:p>
            <w:pPr>
              <w:rPr>
                <w:rFonts w:ascii="宋体" w:hAnsi="宋体"/>
                <w:sz w:val="18"/>
                <w:szCs w:val="18"/>
              </w:rPr>
            </w:pPr>
            <w:r>
              <w:rPr>
                <w:rFonts w:hint="eastAsia" w:ascii="宋体" w:hAnsi="宋体"/>
                <w:sz w:val="18"/>
                <w:szCs w:val="18"/>
              </w:rPr>
              <w:t>处罚100～2000元/项；</w:t>
            </w:r>
          </w:p>
        </w:tc>
        <w:tc>
          <w:tcPr>
            <w:tcW w:w="974" w:type="dxa"/>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4" w:type="dxa"/>
            <w:vAlign w:val="center"/>
          </w:tcPr>
          <w:p>
            <w:pPr>
              <w:numPr>
                <w:ilvl w:val="0"/>
                <w:numId w:val="5"/>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因投标方原因造成检修节点延期，根据延误天数和工作的重要性进行处罚。</w:t>
            </w:r>
          </w:p>
        </w:tc>
        <w:tc>
          <w:tcPr>
            <w:tcW w:w="2775" w:type="dxa"/>
            <w:vAlign w:val="center"/>
          </w:tcPr>
          <w:p>
            <w:pPr>
              <w:rPr>
                <w:rFonts w:ascii="宋体" w:hAnsi="宋体"/>
                <w:sz w:val="18"/>
                <w:szCs w:val="18"/>
              </w:rPr>
            </w:pPr>
            <w:r>
              <w:rPr>
                <w:rFonts w:hint="eastAsia" w:ascii="宋体" w:hAnsi="宋体"/>
                <w:sz w:val="18"/>
                <w:szCs w:val="18"/>
              </w:rPr>
              <w:t>处罚100～3000元/项.天:</w:t>
            </w:r>
          </w:p>
          <w:p>
            <w:pPr>
              <w:rPr>
                <w:rFonts w:ascii="宋体" w:hAnsi="宋体"/>
                <w:sz w:val="18"/>
                <w:szCs w:val="18"/>
              </w:rPr>
            </w:pPr>
            <w:r>
              <w:rPr>
                <w:rFonts w:hint="eastAsia" w:ascii="宋体" w:hAnsi="宋体"/>
                <w:sz w:val="18"/>
                <w:szCs w:val="18"/>
              </w:rPr>
              <w:t>招标方有权委托其它单位完成，招标方发生的费用从合同款中扣除；</w:t>
            </w:r>
          </w:p>
        </w:tc>
        <w:tc>
          <w:tcPr>
            <w:tcW w:w="974" w:type="dxa"/>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5"/>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投标方检修过程中使用不符合标准的工器具。</w:t>
            </w:r>
          </w:p>
        </w:tc>
        <w:tc>
          <w:tcPr>
            <w:tcW w:w="2775" w:type="dxa"/>
            <w:vAlign w:val="center"/>
          </w:tcPr>
          <w:p>
            <w:pPr>
              <w:rPr>
                <w:rFonts w:ascii="宋体" w:hAnsi="宋体"/>
                <w:sz w:val="18"/>
                <w:szCs w:val="18"/>
              </w:rPr>
            </w:pPr>
            <w:r>
              <w:rPr>
                <w:rFonts w:hint="eastAsia" w:ascii="宋体" w:hAnsi="宋体"/>
                <w:sz w:val="18"/>
                <w:szCs w:val="18"/>
              </w:rPr>
              <w:t>处罚100～1000元/次；</w:t>
            </w:r>
          </w:p>
        </w:tc>
        <w:tc>
          <w:tcPr>
            <w:tcW w:w="974" w:type="dxa"/>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ind w:left="-124" w:leftChars="-59"/>
              <w:jc w:val="center"/>
              <w:rPr>
                <w:rFonts w:ascii="宋体" w:hAnsi="宋体"/>
                <w:b/>
                <w:sz w:val="18"/>
                <w:szCs w:val="18"/>
              </w:rPr>
            </w:pPr>
            <w:r>
              <w:rPr>
                <w:rFonts w:hint="eastAsia" w:ascii="宋体" w:hAnsi="宋体"/>
                <w:b/>
                <w:sz w:val="18"/>
                <w:szCs w:val="18"/>
              </w:rPr>
              <w:t>（三）</w:t>
            </w:r>
          </w:p>
        </w:tc>
        <w:tc>
          <w:tcPr>
            <w:tcW w:w="5102" w:type="dxa"/>
            <w:vAlign w:val="center"/>
          </w:tcPr>
          <w:p>
            <w:pPr>
              <w:jc w:val="left"/>
              <w:rPr>
                <w:rFonts w:ascii="宋体" w:hAnsi="宋体"/>
                <w:b/>
                <w:sz w:val="18"/>
                <w:szCs w:val="18"/>
              </w:rPr>
            </w:pPr>
            <w:r>
              <w:rPr>
                <w:rFonts w:hint="eastAsia" w:ascii="宋体" w:hAnsi="宋体"/>
                <w:b/>
                <w:sz w:val="18"/>
                <w:szCs w:val="18"/>
              </w:rPr>
              <w:t>设备检修质量及可靠性管理考核</w:t>
            </w:r>
          </w:p>
        </w:tc>
        <w:tc>
          <w:tcPr>
            <w:tcW w:w="2775" w:type="dxa"/>
            <w:vAlign w:val="center"/>
          </w:tcPr>
          <w:p>
            <w:pPr>
              <w:jc w:val="left"/>
              <w:rPr>
                <w:rFonts w:ascii="宋体" w:hAnsi="宋体"/>
                <w:sz w:val="18"/>
                <w:szCs w:val="18"/>
              </w:rPr>
            </w:pPr>
          </w:p>
        </w:tc>
        <w:tc>
          <w:tcPr>
            <w:tcW w:w="974" w:type="dxa"/>
            <w:vAlign w:val="center"/>
          </w:tcPr>
          <w:p>
            <w:pPr>
              <w:jc w:val="left"/>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6"/>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启机后60天内，由于投标方检修质量原因，造成设备退备或停运，但未造成机组降负荷。根据设备重要性和严重性进行处罚。</w:t>
            </w:r>
          </w:p>
        </w:tc>
        <w:tc>
          <w:tcPr>
            <w:tcW w:w="2775" w:type="dxa"/>
            <w:vAlign w:val="center"/>
          </w:tcPr>
          <w:p>
            <w:pPr>
              <w:rPr>
                <w:rFonts w:ascii="宋体" w:hAnsi="宋体"/>
                <w:sz w:val="18"/>
                <w:szCs w:val="18"/>
              </w:rPr>
            </w:pPr>
            <w:r>
              <w:rPr>
                <w:rFonts w:hint="eastAsia" w:ascii="宋体" w:hAnsi="宋体"/>
                <w:sz w:val="18"/>
                <w:szCs w:val="18"/>
              </w:rPr>
              <w:t>处罚1000～10000元/次；</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6"/>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启机后180天内由于投标方检修维护质量原因，造成设备、系统退备或停运，并造成机组降负荷。根据严重性进行处罚。</w:t>
            </w:r>
          </w:p>
        </w:tc>
        <w:tc>
          <w:tcPr>
            <w:tcW w:w="2775" w:type="dxa"/>
            <w:vAlign w:val="center"/>
          </w:tcPr>
          <w:p>
            <w:pPr>
              <w:rPr>
                <w:rFonts w:ascii="宋体" w:hAnsi="宋体"/>
                <w:sz w:val="18"/>
                <w:szCs w:val="18"/>
              </w:rPr>
            </w:pPr>
            <w:r>
              <w:rPr>
                <w:rFonts w:hint="eastAsia" w:ascii="宋体" w:hAnsi="宋体"/>
                <w:sz w:val="18"/>
                <w:szCs w:val="18"/>
              </w:rPr>
              <w:t>处罚5～20万元/次；</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6"/>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启机后一年内由于投标方检修的质量原因，造成机组非计划停运。根据机组恢复运行状态所需要的时间进行处罚。</w:t>
            </w:r>
          </w:p>
        </w:tc>
        <w:tc>
          <w:tcPr>
            <w:tcW w:w="2775" w:type="dxa"/>
            <w:vAlign w:val="center"/>
          </w:tcPr>
          <w:p>
            <w:pPr>
              <w:rPr>
                <w:rFonts w:ascii="宋体" w:hAnsi="宋体"/>
                <w:sz w:val="18"/>
                <w:szCs w:val="18"/>
              </w:rPr>
            </w:pPr>
            <w:r>
              <w:rPr>
                <w:rFonts w:hint="eastAsia" w:ascii="宋体" w:hAnsi="宋体"/>
                <w:sz w:val="18"/>
                <w:szCs w:val="18"/>
              </w:rPr>
              <w:t>处罚5～50万元／次，超过2次招标方向投标方索赔；</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6"/>
              </w:numPr>
              <w:tabs>
                <w:tab w:val="left" w:pos="585"/>
              </w:tabs>
              <w:ind w:left="-124" w:leftChars="-59" w:firstLine="0"/>
              <w:jc w:val="center"/>
              <w:rPr>
                <w:rFonts w:ascii="宋体" w:hAnsi="宋体"/>
                <w:sz w:val="18"/>
                <w:szCs w:val="18"/>
              </w:rPr>
            </w:pPr>
          </w:p>
        </w:tc>
        <w:tc>
          <w:tcPr>
            <w:tcW w:w="5102" w:type="dxa"/>
            <w:vAlign w:val="center"/>
          </w:tcPr>
          <w:p>
            <w:pPr>
              <w:rPr>
                <w:rFonts w:ascii="宋体" w:hAnsi="宋体"/>
                <w:sz w:val="18"/>
                <w:szCs w:val="18"/>
              </w:rPr>
            </w:pPr>
            <w:r>
              <w:rPr>
                <w:rFonts w:hint="eastAsia" w:ascii="宋体" w:hAnsi="宋体"/>
                <w:sz w:val="18"/>
                <w:szCs w:val="18"/>
              </w:rPr>
              <w:t>不执行招标方检修质量验收制度。</w:t>
            </w:r>
          </w:p>
        </w:tc>
        <w:tc>
          <w:tcPr>
            <w:tcW w:w="2775" w:type="dxa"/>
            <w:vAlign w:val="center"/>
          </w:tcPr>
          <w:p>
            <w:pPr>
              <w:rPr>
                <w:rFonts w:ascii="宋体" w:hAnsi="宋体"/>
                <w:sz w:val="18"/>
                <w:szCs w:val="18"/>
              </w:rPr>
            </w:pPr>
            <w:r>
              <w:rPr>
                <w:rFonts w:hint="eastAsia" w:ascii="宋体" w:hAnsi="宋体"/>
                <w:sz w:val="18"/>
                <w:szCs w:val="18"/>
              </w:rPr>
              <w:t>H点500～2000元/项；W点为500元/项。</w:t>
            </w:r>
          </w:p>
        </w:tc>
        <w:tc>
          <w:tcPr>
            <w:tcW w:w="974"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6"/>
              </w:numPr>
              <w:tabs>
                <w:tab w:val="left" w:pos="585"/>
              </w:tabs>
              <w:ind w:left="-124" w:leftChars="-59" w:firstLine="0"/>
              <w:jc w:val="center"/>
              <w:rPr>
                <w:rFonts w:ascii="宋体" w:hAnsi="宋体"/>
                <w:sz w:val="18"/>
                <w:szCs w:val="18"/>
              </w:rPr>
            </w:pPr>
          </w:p>
        </w:tc>
        <w:tc>
          <w:tcPr>
            <w:tcW w:w="5102" w:type="dxa"/>
            <w:vAlign w:val="center"/>
          </w:tcPr>
          <w:p>
            <w:pPr>
              <w:widowControl/>
              <w:jc w:val="left"/>
              <w:rPr>
                <w:rFonts w:ascii="宋体" w:hAnsi="宋体" w:cs="宋体"/>
                <w:kern w:val="0"/>
                <w:sz w:val="18"/>
                <w:szCs w:val="18"/>
              </w:rPr>
            </w:pPr>
            <w:r>
              <w:rPr>
                <w:rFonts w:hint="eastAsia" w:ascii="宋体" w:hAnsi="宋体" w:cs="宋体"/>
                <w:kern w:val="0"/>
                <w:sz w:val="18"/>
                <w:szCs w:val="18"/>
              </w:rPr>
              <w:t>机组检修竣工、并网3</w:t>
            </w:r>
            <w:r>
              <w:rPr>
                <w:rFonts w:ascii="宋体" w:hAnsi="宋体" w:cs="宋体"/>
                <w:kern w:val="0"/>
                <w:sz w:val="18"/>
                <w:szCs w:val="18"/>
              </w:rPr>
              <w:t>0</w:t>
            </w:r>
            <w:r>
              <w:rPr>
                <w:rFonts w:hint="eastAsia" w:ascii="宋体" w:hAnsi="宋体" w:cs="宋体"/>
                <w:kern w:val="0"/>
                <w:sz w:val="18"/>
                <w:szCs w:val="18"/>
              </w:rPr>
              <w:t>个工作日内提交给电厂完整的技术报告。</w:t>
            </w:r>
          </w:p>
        </w:tc>
        <w:tc>
          <w:tcPr>
            <w:tcW w:w="2775" w:type="dxa"/>
            <w:vAlign w:val="center"/>
          </w:tcPr>
          <w:p>
            <w:pPr>
              <w:widowControl/>
              <w:jc w:val="left"/>
              <w:rPr>
                <w:rFonts w:ascii="宋体" w:hAnsi="宋体" w:cs="宋体"/>
                <w:kern w:val="0"/>
                <w:sz w:val="18"/>
                <w:szCs w:val="18"/>
              </w:rPr>
            </w:pPr>
            <w:r>
              <w:rPr>
                <w:rFonts w:hint="eastAsia" w:ascii="宋体" w:hAnsi="宋体" w:cs="宋体"/>
                <w:kern w:val="0"/>
                <w:sz w:val="18"/>
                <w:szCs w:val="18"/>
              </w:rPr>
              <w:t>迟一天，扣</w:t>
            </w:r>
            <w:r>
              <w:rPr>
                <w:rFonts w:ascii="宋体" w:hAnsi="宋体" w:cs="宋体"/>
                <w:kern w:val="0"/>
                <w:sz w:val="18"/>
                <w:szCs w:val="18"/>
              </w:rPr>
              <w:t>500</w:t>
            </w:r>
            <w:r>
              <w:rPr>
                <w:rFonts w:hint="eastAsia" w:ascii="宋体" w:hAnsi="宋体" w:cs="宋体"/>
                <w:kern w:val="0"/>
                <w:sz w:val="18"/>
                <w:szCs w:val="18"/>
              </w:rPr>
              <w:t>元。</w:t>
            </w:r>
          </w:p>
        </w:tc>
        <w:tc>
          <w:tcPr>
            <w:tcW w:w="974" w:type="dxa"/>
            <w:vAlign w:val="center"/>
          </w:tcPr>
          <w:p>
            <w:pPr>
              <w:rPr>
                <w:rFonts w:ascii="宋体" w:hAnsi="宋体"/>
                <w:sz w:val="18"/>
                <w:szCs w:val="18"/>
              </w:rPr>
            </w:pPr>
          </w:p>
        </w:tc>
      </w:tr>
    </w:tbl>
    <w:p>
      <w:pPr>
        <w:spacing w:line="276" w:lineRule="auto"/>
        <w:rPr>
          <w:rFonts w:ascii="宋体" w:hAnsi="宋体"/>
          <w:sz w:val="18"/>
          <w:szCs w:val="18"/>
        </w:rPr>
      </w:pPr>
    </w:p>
    <w:p>
      <w:pPr>
        <w:adjustRightInd w:val="0"/>
        <w:snapToGrid w:val="0"/>
        <w:spacing w:line="360" w:lineRule="auto"/>
        <w:rPr>
          <w:rFonts w:ascii="宋体" w:hAnsi="宋体"/>
          <w:szCs w:val="21"/>
        </w:rPr>
      </w:pPr>
      <w:r>
        <w:rPr>
          <w:rFonts w:hint="eastAsia" w:ascii="宋体" w:hAnsi="宋体"/>
          <w:szCs w:val="21"/>
        </w:rPr>
        <w:t>安健环管理和文明生产考核标准</w:t>
      </w:r>
    </w:p>
    <w:tbl>
      <w:tblPr>
        <w:tblStyle w:val="16"/>
        <w:tblW w:w="9181"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002"/>
        <w:gridCol w:w="2718"/>
        <w:gridCol w:w="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8" w:hRule="atLeast"/>
          <w:tblHeader/>
        </w:trPr>
        <w:tc>
          <w:tcPr>
            <w:tcW w:w="730" w:type="dxa"/>
            <w:vAlign w:val="center"/>
          </w:tcPr>
          <w:p>
            <w:pPr>
              <w:ind w:leftChars="-31" w:hanging="65" w:hangingChars="36"/>
              <w:jc w:val="center"/>
              <w:rPr>
                <w:rFonts w:ascii="宋体" w:hAnsi="宋体"/>
                <w:b/>
                <w:sz w:val="18"/>
                <w:szCs w:val="18"/>
              </w:rPr>
            </w:pPr>
            <w:r>
              <w:rPr>
                <w:rFonts w:hint="eastAsia" w:ascii="宋体" w:hAnsi="宋体"/>
                <w:b/>
                <w:sz w:val="18"/>
                <w:szCs w:val="18"/>
              </w:rPr>
              <w:t>序号</w:t>
            </w:r>
          </w:p>
        </w:tc>
        <w:tc>
          <w:tcPr>
            <w:tcW w:w="5002" w:type="dxa"/>
            <w:vAlign w:val="center"/>
          </w:tcPr>
          <w:p>
            <w:pPr>
              <w:jc w:val="center"/>
              <w:rPr>
                <w:rFonts w:ascii="宋体" w:hAnsi="宋体"/>
                <w:b/>
                <w:sz w:val="18"/>
                <w:szCs w:val="18"/>
              </w:rPr>
            </w:pPr>
            <w:r>
              <w:rPr>
                <w:rFonts w:hint="eastAsia" w:ascii="宋体" w:hAnsi="宋体"/>
                <w:b/>
                <w:sz w:val="18"/>
                <w:szCs w:val="18"/>
              </w:rPr>
              <w:t>考核项目</w:t>
            </w:r>
          </w:p>
        </w:tc>
        <w:tc>
          <w:tcPr>
            <w:tcW w:w="2718" w:type="dxa"/>
            <w:vAlign w:val="center"/>
          </w:tcPr>
          <w:p>
            <w:pPr>
              <w:jc w:val="center"/>
              <w:rPr>
                <w:rFonts w:ascii="宋体" w:hAnsi="宋体"/>
                <w:b/>
                <w:sz w:val="18"/>
                <w:szCs w:val="18"/>
              </w:rPr>
            </w:pPr>
            <w:r>
              <w:rPr>
                <w:rFonts w:hint="eastAsia" w:ascii="宋体" w:hAnsi="宋体"/>
                <w:b/>
                <w:sz w:val="18"/>
                <w:szCs w:val="18"/>
              </w:rPr>
              <w:t>考核标准</w:t>
            </w:r>
          </w:p>
        </w:tc>
        <w:tc>
          <w:tcPr>
            <w:tcW w:w="731" w:type="dxa"/>
            <w:vAlign w:val="center"/>
          </w:tcPr>
          <w:p>
            <w:pPr>
              <w:jc w:val="center"/>
              <w:rPr>
                <w:rFonts w:ascii="宋体" w:hAnsi="宋体"/>
                <w:b/>
                <w:sz w:val="18"/>
                <w:szCs w:val="18"/>
              </w:rPr>
            </w:pPr>
            <w:r>
              <w:rPr>
                <w:rFonts w:hint="eastAsia" w:ascii="宋体" w:hAnsi="宋体"/>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30" w:type="dxa"/>
            <w:vAlign w:val="center"/>
          </w:tcPr>
          <w:p>
            <w:pPr>
              <w:ind w:leftChars="-31" w:hanging="65" w:hangingChars="36"/>
              <w:jc w:val="center"/>
              <w:rPr>
                <w:rFonts w:ascii="宋体" w:hAnsi="宋体"/>
                <w:b/>
                <w:sz w:val="18"/>
                <w:szCs w:val="18"/>
              </w:rPr>
            </w:pPr>
            <w:r>
              <w:rPr>
                <w:rFonts w:hint="eastAsia" w:ascii="宋体" w:hAnsi="宋体"/>
                <w:b/>
                <w:sz w:val="18"/>
                <w:szCs w:val="18"/>
              </w:rPr>
              <w:t>一</w:t>
            </w:r>
          </w:p>
        </w:tc>
        <w:tc>
          <w:tcPr>
            <w:tcW w:w="5002" w:type="dxa"/>
            <w:vAlign w:val="center"/>
          </w:tcPr>
          <w:p>
            <w:pPr>
              <w:rPr>
                <w:rFonts w:ascii="宋体" w:hAnsi="宋体"/>
                <w:b/>
                <w:sz w:val="18"/>
                <w:szCs w:val="18"/>
              </w:rPr>
            </w:pPr>
            <w:r>
              <w:rPr>
                <w:rFonts w:hint="eastAsia" w:ascii="宋体" w:hAnsi="宋体"/>
                <w:b/>
                <w:sz w:val="18"/>
                <w:szCs w:val="18"/>
              </w:rPr>
              <w:t>安健环管理</w:t>
            </w:r>
          </w:p>
        </w:tc>
        <w:tc>
          <w:tcPr>
            <w:tcW w:w="2718" w:type="dxa"/>
            <w:vAlign w:val="center"/>
          </w:tcPr>
          <w:p>
            <w:pPr>
              <w:pStyle w:val="36"/>
              <w:rPr>
                <w:rFonts w:ascii="宋体" w:hAnsi="宋体"/>
                <w:sz w:val="18"/>
                <w:szCs w:val="18"/>
              </w:rPr>
            </w:pPr>
          </w:p>
        </w:tc>
        <w:tc>
          <w:tcPr>
            <w:tcW w:w="731" w:type="dxa"/>
            <w:vAlign w:val="center"/>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30" w:type="dxa"/>
            <w:vAlign w:val="center"/>
          </w:tcPr>
          <w:p>
            <w:pPr>
              <w:ind w:leftChars="-31" w:hanging="65" w:hangingChars="36"/>
              <w:jc w:val="center"/>
              <w:rPr>
                <w:rFonts w:ascii="宋体" w:hAnsi="宋体"/>
                <w:b/>
                <w:sz w:val="18"/>
                <w:szCs w:val="18"/>
              </w:rPr>
            </w:pPr>
            <w:r>
              <w:rPr>
                <w:rFonts w:hint="eastAsia" w:ascii="宋体" w:hAnsi="宋体"/>
                <w:b/>
                <w:sz w:val="18"/>
                <w:szCs w:val="18"/>
              </w:rPr>
              <w:t>（一）</w:t>
            </w:r>
          </w:p>
        </w:tc>
        <w:tc>
          <w:tcPr>
            <w:tcW w:w="5002" w:type="dxa"/>
            <w:vAlign w:val="center"/>
          </w:tcPr>
          <w:p>
            <w:pPr>
              <w:rPr>
                <w:rFonts w:ascii="宋体" w:hAnsi="宋体"/>
                <w:b/>
                <w:sz w:val="18"/>
                <w:szCs w:val="18"/>
              </w:rPr>
            </w:pPr>
            <w:r>
              <w:rPr>
                <w:rFonts w:hint="eastAsia" w:ascii="宋体" w:hAnsi="宋体"/>
                <w:b/>
                <w:sz w:val="18"/>
                <w:szCs w:val="18"/>
              </w:rPr>
              <w:t>安全事件、事故考核</w:t>
            </w:r>
          </w:p>
        </w:tc>
        <w:tc>
          <w:tcPr>
            <w:tcW w:w="2718" w:type="dxa"/>
            <w:vAlign w:val="center"/>
          </w:tcPr>
          <w:p>
            <w:pPr>
              <w:pStyle w:val="36"/>
              <w:rPr>
                <w:rFonts w:ascii="宋体" w:hAnsi="宋体"/>
                <w:sz w:val="18"/>
                <w:szCs w:val="18"/>
              </w:rPr>
            </w:pPr>
          </w:p>
        </w:tc>
        <w:tc>
          <w:tcPr>
            <w:tcW w:w="731" w:type="dxa"/>
            <w:vAlign w:val="center"/>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7"/>
              </w:numPr>
              <w:ind w:left="-1" w:leftChars="-31" w:hanging="64" w:hangingChars="36"/>
              <w:jc w:val="center"/>
              <w:rPr>
                <w:rFonts w:ascii="宋体" w:hAnsi="宋体"/>
                <w:bCs/>
                <w:sz w:val="18"/>
                <w:szCs w:val="18"/>
              </w:rPr>
            </w:pPr>
          </w:p>
        </w:tc>
        <w:tc>
          <w:tcPr>
            <w:tcW w:w="5002" w:type="dxa"/>
            <w:vAlign w:val="center"/>
          </w:tcPr>
          <w:p>
            <w:pPr>
              <w:pStyle w:val="36"/>
              <w:jc w:val="left"/>
              <w:rPr>
                <w:rFonts w:ascii="宋体" w:hAnsi="宋体"/>
                <w:bCs/>
                <w:sz w:val="18"/>
                <w:szCs w:val="18"/>
              </w:rPr>
            </w:pPr>
            <w:r>
              <w:rPr>
                <w:rFonts w:ascii="宋体" w:hAnsi="宋体" w:cs="Arial"/>
                <w:sz w:val="18"/>
                <w:szCs w:val="18"/>
              </w:rPr>
              <w:t>发生</w:t>
            </w:r>
            <w:r>
              <w:rPr>
                <w:rFonts w:hint="eastAsia" w:ascii="宋体" w:hAnsi="宋体" w:cs="Arial"/>
                <w:sz w:val="18"/>
                <w:szCs w:val="18"/>
              </w:rPr>
              <w:t>人身死亡事故，特大、</w:t>
            </w:r>
            <w:r>
              <w:rPr>
                <w:rFonts w:ascii="宋体" w:hAnsi="宋体" w:cs="Arial"/>
                <w:sz w:val="18"/>
                <w:szCs w:val="18"/>
              </w:rPr>
              <w:t>重大伤亡事故</w:t>
            </w:r>
            <w:r>
              <w:rPr>
                <w:rFonts w:hint="eastAsia" w:ascii="宋体" w:hAnsi="宋体" w:cs="Arial"/>
                <w:sz w:val="18"/>
                <w:szCs w:val="18"/>
              </w:rPr>
              <w:t>，</w:t>
            </w:r>
            <w:r>
              <w:rPr>
                <w:rFonts w:ascii="宋体" w:hAnsi="宋体" w:cs="Arial"/>
                <w:sz w:val="18"/>
                <w:szCs w:val="18"/>
              </w:rPr>
              <w:t>重大机械</w:t>
            </w:r>
            <w:r>
              <w:rPr>
                <w:rFonts w:hint="eastAsia" w:ascii="宋体" w:hAnsi="宋体" w:cs="Arial"/>
                <w:sz w:val="18"/>
                <w:szCs w:val="18"/>
              </w:rPr>
              <w:t>、设备</w:t>
            </w:r>
            <w:r>
              <w:rPr>
                <w:rFonts w:ascii="宋体" w:hAnsi="宋体" w:cs="Arial"/>
                <w:sz w:val="18"/>
                <w:szCs w:val="18"/>
              </w:rPr>
              <w:t>事故</w:t>
            </w:r>
            <w:r>
              <w:rPr>
                <w:rFonts w:hint="eastAsia" w:ascii="宋体" w:hAnsi="宋体" w:cs="Arial"/>
                <w:sz w:val="18"/>
                <w:szCs w:val="18"/>
              </w:rPr>
              <w:t>、</w:t>
            </w:r>
            <w:r>
              <w:rPr>
                <w:rFonts w:ascii="宋体" w:hAnsi="宋体" w:cs="Arial"/>
                <w:sz w:val="18"/>
                <w:szCs w:val="18"/>
              </w:rPr>
              <w:t>重大火灾事故</w:t>
            </w:r>
            <w:r>
              <w:rPr>
                <w:rFonts w:hint="eastAsia" w:ascii="宋体" w:hAnsi="宋体" w:cs="Arial"/>
                <w:sz w:val="18"/>
                <w:szCs w:val="18"/>
              </w:rPr>
              <w:t>（</w:t>
            </w:r>
            <w:r>
              <w:rPr>
                <w:rFonts w:hint="eastAsia" w:ascii="宋体" w:hAnsi="宋体"/>
                <w:sz w:val="18"/>
                <w:szCs w:val="18"/>
              </w:rPr>
              <w:t>合同期满后3个月内经追溯为本合同期内相关责任的仍不能免除责任）</w:t>
            </w:r>
            <w:r>
              <w:rPr>
                <w:rFonts w:hint="eastAsia" w:ascii="宋体" w:hAnsi="宋体" w:cs="Arial"/>
                <w:sz w:val="18"/>
                <w:szCs w:val="18"/>
              </w:rPr>
              <w:t>。</w:t>
            </w:r>
          </w:p>
        </w:tc>
        <w:tc>
          <w:tcPr>
            <w:tcW w:w="2718" w:type="dxa"/>
            <w:vAlign w:val="center"/>
          </w:tcPr>
          <w:p>
            <w:pPr>
              <w:pStyle w:val="36"/>
              <w:rPr>
                <w:rFonts w:ascii="宋体" w:hAnsi="宋体"/>
                <w:sz w:val="18"/>
                <w:szCs w:val="18"/>
              </w:rPr>
            </w:pPr>
            <w:r>
              <w:rPr>
                <w:rFonts w:hint="eastAsia" w:ascii="宋体" w:hAnsi="宋体" w:cs="Arial"/>
                <w:sz w:val="18"/>
                <w:szCs w:val="18"/>
              </w:rPr>
              <w:t>扣除所有安全文明施工保证金</w:t>
            </w:r>
            <w:r>
              <w:rPr>
                <w:rFonts w:ascii="宋体" w:hAnsi="宋体" w:cs="Arial"/>
                <w:sz w:val="18"/>
                <w:szCs w:val="18"/>
              </w:rPr>
              <w:t>，并负责事故造成损失的赔偿</w:t>
            </w:r>
            <w:r>
              <w:rPr>
                <w:rFonts w:hint="eastAsia" w:ascii="宋体" w:hAnsi="宋体" w:cs="Arial"/>
                <w:sz w:val="18"/>
                <w:szCs w:val="18"/>
              </w:rPr>
              <w:t>；</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7"/>
              </w:numPr>
              <w:ind w:left="-1" w:leftChars="-31" w:hanging="64" w:hangingChars="36"/>
              <w:jc w:val="center"/>
              <w:rPr>
                <w:rFonts w:ascii="宋体" w:hAnsi="宋体"/>
                <w:bCs/>
                <w:sz w:val="18"/>
                <w:szCs w:val="18"/>
              </w:rPr>
            </w:pPr>
          </w:p>
        </w:tc>
        <w:tc>
          <w:tcPr>
            <w:tcW w:w="5002" w:type="dxa"/>
            <w:vAlign w:val="center"/>
          </w:tcPr>
          <w:p>
            <w:pPr>
              <w:pStyle w:val="36"/>
              <w:rPr>
                <w:rFonts w:ascii="宋体" w:hAnsi="宋体" w:cs="Arial"/>
                <w:sz w:val="18"/>
                <w:szCs w:val="18"/>
              </w:rPr>
            </w:pPr>
            <w:r>
              <w:rPr>
                <w:rFonts w:hint="eastAsia" w:ascii="宋体" w:hAnsi="宋体" w:cs="Arial"/>
                <w:sz w:val="18"/>
                <w:szCs w:val="18"/>
              </w:rPr>
              <w:t>发生人身</w:t>
            </w:r>
            <w:r>
              <w:rPr>
                <w:rFonts w:ascii="宋体" w:hAnsi="宋体" w:cs="Arial"/>
                <w:sz w:val="18"/>
                <w:szCs w:val="18"/>
              </w:rPr>
              <w:t>轻伤事故</w:t>
            </w:r>
            <w:r>
              <w:rPr>
                <w:rFonts w:hint="eastAsia" w:ascii="宋体" w:hAnsi="宋体" w:cs="Arial"/>
                <w:sz w:val="18"/>
                <w:szCs w:val="18"/>
              </w:rPr>
              <w:t>。</w:t>
            </w:r>
          </w:p>
        </w:tc>
        <w:tc>
          <w:tcPr>
            <w:tcW w:w="2718" w:type="dxa"/>
            <w:vAlign w:val="center"/>
          </w:tcPr>
          <w:p>
            <w:pPr>
              <w:pStyle w:val="36"/>
              <w:rPr>
                <w:rFonts w:ascii="宋体" w:hAnsi="宋体"/>
                <w:sz w:val="18"/>
                <w:szCs w:val="18"/>
              </w:rPr>
            </w:pPr>
            <w:r>
              <w:rPr>
                <w:rFonts w:hint="eastAsia" w:ascii="宋体" w:hAnsi="宋体"/>
                <w:sz w:val="18"/>
                <w:szCs w:val="18"/>
              </w:rPr>
              <w:t xml:space="preserve">处罚500～2000元/人； </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7"/>
              </w:numPr>
              <w:ind w:left="-1" w:leftChars="-31" w:hanging="64" w:hangingChars="36"/>
              <w:jc w:val="center"/>
              <w:rPr>
                <w:rFonts w:ascii="宋体" w:hAnsi="宋体"/>
                <w:bCs/>
                <w:sz w:val="18"/>
                <w:szCs w:val="18"/>
              </w:rPr>
            </w:pPr>
          </w:p>
        </w:tc>
        <w:tc>
          <w:tcPr>
            <w:tcW w:w="5002" w:type="dxa"/>
            <w:vAlign w:val="center"/>
          </w:tcPr>
          <w:p>
            <w:pPr>
              <w:pStyle w:val="36"/>
              <w:rPr>
                <w:rFonts w:ascii="宋体" w:hAnsi="宋体" w:cs="Arial"/>
                <w:sz w:val="18"/>
                <w:szCs w:val="18"/>
              </w:rPr>
            </w:pPr>
            <w:r>
              <w:rPr>
                <w:rFonts w:hint="eastAsia" w:ascii="宋体" w:hAnsi="宋体" w:cs="Arial"/>
                <w:sz w:val="18"/>
                <w:szCs w:val="18"/>
              </w:rPr>
              <w:t>发生火警。</w:t>
            </w:r>
          </w:p>
        </w:tc>
        <w:tc>
          <w:tcPr>
            <w:tcW w:w="2718" w:type="dxa"/>
            <w:vAlign w:val="center"/>
          </w:tcPr>
          <w:p>
            <w:pPr>
              <w:pStyle w:val="36"/>
              <w:rPr>
                <w:rFonts w:ascii="宋体" w:hAnsi="宋体"/>
                <w:sz w:val="18"/>
                <w:szCs w:val="18"/>
              </w:rPr>
            </w:pPr>
            <w:r>
              <w:rPr>
                <w:rFonts w:hint="eastAsia" w:ascii="宋体" w:hAnsi="宋体"/>
                <w:sz w:val="18"/>
                <w:szCs w:val="18"/>
              </w:rPr>
              <w:t>处罚500～2000元/次；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7"/>
              </w:numPr>
              <w:ind w:left="-1" w:leftChars="-31" w:hanging="64" w:hangingChars="36"/>
              <w:jc w:val="center"/>
              <w:rPr>
                <w:rFonts w:ascii="宋体" w:hAnsi="宋体"/>
                <w:bCs/>
                <w:sz w:val="18"/>
                <w:szCs w:val="18"/>
              </w:rPr>
            </w:pPr>
          </w:p>
        </w:tc>
        <w:tc>
          <w:tcPr>
            <w:tcW w:w="5002" w:type="dxa"/>
          </w:tcPr>
          <w:p>
            <w:pPr>
              <w:pStyle w:val="36"/>
              <w:rPr>
                <w:rFonts w:ascii="宋体" w:hAnsi="宋体"/>
                <w:bCs/>
                <w:sz w:val="18"/>
                <w:szCs w:val="18"/>
              </w:rPr>
            </w:pPr>
            <w:r>
              <w:rPr>
                <w:rFonts w:hint="eastAsia" w:ascii="宋体" w:hAnsi="宋体" w:cs="Arial"/>
                <w:sz w:val="18"/>
                <w:szCs w:val="18"/>
              </w:rPr>
              <w:t>发生</w:t>
            </w:r>
            <w:r>
              <w:rPr>
                <w:rFonts w:ascii="宋体" w:hAnsi="宋体" w:cs="Arial"/>
                <w:sz w:val="18"/>
                <w:szCs w:val="18"/>
              </w:rPr>
              <w:t>一般人为的机械</w:t>
            </w:r>
            <w:r>
              <w:rPr>
                <w:rFonts w:hint="eastAsia" w:ascii="宋体" w:hAnsi="宋体" w:cs="Arial"/>
                <w:sz w:val="18"/>
                <w:szCs w:val="18"/>
              </w:rPr>
              <w:t>、设备</w:t>
            </w:r>
            <w:r>
              <w:rPr>
                <w:rFonts w:ascii="宋体" w:hAnsi="宋体" w:cs="Arial"/>
                <w:sz w:val="18"/>
                <w:szCs w:val="18"/>
              </w:rPr>
              <w:t>事故</w:t>
            </w:r>
            <w:r>
              <w:rPr>
                <w:rFonts w:hint="eastAsia" w:ascii="宋体" w:hAnsi="宋体" w:cs="Arial"/>
                <w:sz w:val="18"/>
                <w:szCs w:val="18"/>
              </w:rPr>
              <w:t>。</w:t>
            </w:r>
          </w:p>
        </w:tc>
        <w:tc>
          <w:tcPr>
            <w:tcW w:w="2718" w:type="dxa"/>
            <w:vAlign w:val="center"/>
          </w:tcPr>
          <w:p>
            <w:pPr>
              <w:pStyle w:val="36"/>
              <w:rPr>
                <w:rFonts w:ascii="宋体" w:hAnsi="宋体"/>
                <w:sz w:val="18"/>
                <w:szCs w:val="18"/>
              </w:rPr>
            </w:pPr>
            <w:r>
              <w:rPr>
                <w:rFonts w:hint="eastAsia" w:ascii="宋体" w:hAnsi="宋体" w:cs="Arial"/>
                <w:sz w:val="18"/>
                <w:szCs w:val="18"/>
              </w:rPr>
              <w:t>处罚5000</w:t>
            </w:r>
            <w:r>
              <w:rPr>
                <w:rFonts w:hint="eastAsia" w:ascii="宋体" w:hAnsi="宋体"/>
                <w:sz w:val="18"/>
                <w:szCs w:val="18"/>
              </w:rPr>
              <w:t>～</w:t>
            </w:r>
            <w:r>
              <w:rPr>
                <w:rFonts w:hint="eastAsia" w:ascii="宋体" w:hAnsi="宋体" w:cs="Arial"/>
                <w:sz w:val="18"/>
                <w:szCs w:val="18"/>
              </w:rPr>
              <w:t>20</w:t>
            </w:r>
            <w:r>
              <w:rPr>
                <w:rFonts w:ascii="宋体" w:hAnsi="宋体" w:cs="Arial"/>
                <w:sz w:val="18"/>
                <w:szCs w:val="18"/>
              </w:rPr>
              <w:t>000元</w:t>
            </w:r>
            <w:r>
              <w:rPr>
                <w:rFonts w:hint="eastAsia" w:ascii="宋体" w:hAnsi="宋体"/>
                <w:sz w:val="18"/>
                <w:szCs w:val="18"/>
              </w:rPr>
              <w:t>/次；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7"/>
              </w:numPr>
              <w:ind w:left="-1" w:leftChars="-31" w:hanging="64" w:hangingChars="36"/>
              <w:jc w:val="center"/>
              <w:rPr>
                <w:rFonts w:ascii="宋体" w:hAnsi="宋体"/>
                <w:bCs/>
                <w:sz w:val="18"/>
                <w:szCs w:val="18"/>
              </w:rPr>
            </w:pPr>
          </w:p>
        </w:tc>
        <w:tc>
          <w:tcPr>
            <w:tcW w:w="5002" w:type="dxa"/>
          </w:tcPr>
          <w:p>
            <w:pPr>
              <w:pStyle w:val="36"/>
              <w:rPr>
                <w:rFonts w:ascii="宋体" w:hAnsi="宋体"/>
                <w:bCs/>
                <w:sz w:val="18"/>
                <w:szCs w:val="18"/>
              </w:rPr>
            </w:pPr>
            <w:r>
              <w:rPr>
                <w:rFonts w:hint="eastAsia" w:ascii="宋体" w:hAnsi="宋体" w:cs="Arial"/>
                <w:sz w:val="18"/>
                <w:szCs w:val="18"/>
              </w:rPr>
              <w:t>因投标方责任（误动、误碰）造成设备、系统异常。</w:t>
            </w:r>
          </w:p>
        </w:tc>
        <w:tc>
          <w:tcPr>
            <w:tcW w:w="2718" w:type="dxa"/>
            <w:vAlign w:val="center"/>
          </w:tcPr>
          <w:p>
            <w:pPr>
              <w:pStyle w:val="36"/>
              <w:rPr>
                <w:rFonts w:ascii="宋体" w:hAnsi="宋体"/>
                <w:sz w:val="18"/>
                <w:szCs w:val="18"/>
              </w:rPr>
            </w:pPr>
            <w:r>
              <w:rPr>
                <w:rFonts w:hint="eastAsia" w:ascii="宋体" w:hAnsi="宋体" w:cs="Arial"/>
                <w:sz w:val="18"/>
                <w:szCs w:val="18"/>
              </w:rPr>
              <w:t>处罚100</w:t>
            </w:r>
            <w:r>
              <w:rPr>
                <w:rFonts w:hint="eastAsia" w:ascii="宋体" w:hAnsi="宋体"/>
                <w:sz w:val="18"/>
                <w:szCs w:val="18"/>
              </w:rPr>
              <w:t>～</w:t>
            </w:r>
            <w:r>
              <w:rPr>
                <w:rFonts w:hint="eastAsia" w:ascii="宋体" w:hAnsi="宋体" w:cs="Arial"/>
                <w:sz w:val="18"/>
                <w:szCs w:val="18"/>
              </w:rPr>
              <w:t>500元/次；</w:t>
            </w:r>
          </w:p>
        </w:tc>
        <w:tc>
          <w:tcPr>
            <w:tcW w:w="731" w:type="dxa"/>
            <w:vAlign w:val="center"/>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7"/>
              </w:numPr>
              <w:ind w:left="-1" w:leftChars="-31" w:hanging="64" w:hangingChars="36"/>
              <w:jc w:val="center"/>
              <w:rPr>
                <w:rFonts w:ascii="宋体" w:hAnsi="宋体"/>
                <w:bCs/>
                <w:sz w:val="18"/>
                <w:szCs w:val="18"/>
              </w:rPr>
            </w:pPr>
          </w:p>
        </w:tc>
        <w:tc>
          <w:tcPr>
            <w:tcW w:w="5002" w:type="dxa"/>
            <w:vAlign w:val="center"/>
          </w:tcPr>
          <w:p>
            <w:pPr>
              <w:pStyle w:val="36"/>
              <w:rPr>
                <w:rFonts w:ascii="宋体" w:hAnsi="宋体" w:cs="Arial"/>
                <w:sz w:val="18"/>
                <w:szCs w:val="18"/>
              </w:rPr>
            </w:pPr>
            <w:r>
              <w:rPr>
                <w:rFonts w:hint="eastAsia" w:ascii="宋体" w:hAnsi="宋体"/>
                <w:sz w:val="18"/>
                <w:szCs w:val="18"/>
              </w:rPr>
              <w:t>在厂区范围内发生交通伤亡</w:t>
            </w:r>
            <w:r>
              <w:rPr>
                <w:rFonts w:ascii="宋体" w:hAnsi="宋体" w:cs="Arial"/>
                <w:sz w:val="18"/>
                <w:szCs w:val="18"/>
              </w:rPr>
              <w:t>事故</w:t>
            </w:r>
            <w:r>
              <w:rPr>
                <w:rFonts w:hint="eastAsia" w:ascii="宋体" w:hAnsi="宋体"/>
                <w:sz w:val="18"/>
                <w:szCs w:val="18"/>
              </w:rPr>
              <w:t>。</w:t>
            </w:r>
          </w:p>
        </w:tc>
        <w:tc>
          <w:tcPr>
            <w:tcW w:w="2718" w:type="dxa"/>
            <w:vAlign w:val="center"/>
          </w:tcPr>
          <w:p>
            <w:pPr>
              <w:pStyle w:val="36"/>
              <w:rPr>
                <w:rFonts w:ascii="宋体" w:hAnsi="宋体" w:cs="Arial"/>
                <w:sz w:val="18"/>
                <w:szCs w:val="18"/>
              </w:rPr>
            </w:pPr>
            <w:r>
              <w:rPr>
                <w:rFonts w:hint="eastAsia" w:ascii="宋体" w:hAnsi="宋体" w:cs="Arial"/>
                <w:sz w:val="18"/>
                <w:szCs w:val="18"/>
              </w:rPr>
              <w:t>处罚5000～10</w:t>
            </w:r>
            <w:r>
              <w:rPr>
                <w:rFonts w:ascii="宋体" w:hAnsi="宋体" w:cs="Arial"/>
                <w:sz w:val="18"/>
                <w:szCs w:val="18"/>
              </w:rPr>
              <w:t>000元</w:t>
            </w:r>
            <w:r>
              <w:rPr>
                <w:rFonts w:hint="eastAsia" w:ascii="宋体" w:hAnsi="宋体"/>
                <w:sz w:val="18"/>
                <w:szCs w:val="18"/>
              </w:rPr>
              <w:t>/次；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7"/>
              </w:numPr>
              <w:ind w:left="-1" w:leftChars="-31" w:hanging="64" w:hangingChars="36"/>
              <w:jc w:val="center"/>
              <w:rPr>
                <w:rFonts w:ascii="宋体" w:hAnsi="宋体"/>
                <w:bCs/>
                <w:sz w:val="18"/>
                <w:szCs w:val="18"/>
              </w:rPr>
            </w:pPr>
          </w:p>
        </w:tc>
        <w:tc>
          <w:tcPr>
            <w:tcW w:w="5002" w:type="dxa"/>
            <w:vAlign w:val="center"/>
          </w:tcPr>
          <w:p>
            <w:pPr>
              <w:pStyle w:val="36"/>
              <w:rPr>
                <w:rFonts w:ascii="宋体" w:hAnsi="宋体" w:cs="Arial"/>
                <w:sz w:val="18"/>
                <w:szCs w:val="18"/>
              </w:rPr>
            </w:pPr>
            <w:r>
              <w:rPr>
                <w:rFonts w:hint="eastAsia" w:ascii="宋体" w:hAnsi="宋体"/>
                <w:sz w:val="18"/>
                <w:szCs w:val="18"/>
              </w:rPr>
              <w:t>在厂区范围内发生一般责任交通事件。</w:t>
            </w:r>
          </w:p>
        </w:tc>
        <w:tc>
          <w:tcPr>
            <w:tcW w:w="2718" w:type="dxa"/>
            <w:vAlign w:val="center"/>
          </w:tcPr>
          <w:p>
            <w:pPr>
              <w:pStyle w:val="36"/>
              <w:rPr>
                <w:rFonts w:ascii="宋体" w:hAnsi="宋体" w:cs="Arial"/>
                <w:sz w:val="18"/>
                <w:szCs w:val="18"/>
              </w:rPr>
            </w:pPr>
            <w:r>
              <w:rPr>
                <w:rFonts w:hint="eastAsia" w:ascii="宋体" w:hAnsi="宋体" w:cs="Arial"/>
                <w:sz w:val="18"/>
                <w:szCs w:val="18"/>
              </w:rPr>
              <w:t>处罚</w:t>
            </w:r>
            <w:r>
              <w:rPr>
                <w:rFonts w:hint="eastAsia" w:ascii="宋体" w:hAnsi="宋体"/>
                <w:sz w:val="18"/>
                <w:szCs w:val="18"/>
              </w:rPr>
              <w:t>500元/次；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7"/>
              </w:numPr>
              <w:ind w:left="-1" w:leftChars="-31" w:hanging="64" w:hangingChars="36"/>
              <w:jc w:val="center"/>
              <w:rPr>
                <w:rFonts w:ascii="宋体" w:hAnsi="宋体"/>
                <w:bCs/>
                <w:sz w:val="18"/>
                <w:szCs w:val="18"/>
              </w:rPr>
            </w:pPr>
          </w:p>
        </w:tc>
        <w:tc>
          <w:tcPr>
            <w:tcW w:w="5002" w:type="dxa"/>
            <w:vAlign w:val="center"/>
          </w:tcPr>
          <w:p>
            <w:pPr>
              <w:pStyle w:val="36"/>
              <w:rPr>
                <w:rFonts w:ascii="宋体" w:hAnsi="宋体" w:cs="Arial"/>
                <w:sz w:val="18"/>
                <w:szCs w:val="18"/>
              </w:rPr>
            </w:pPr>
            <w:r>
              <w:rPr>
                <w:rFonts w:hint="eastAsia" w:ascii="宋体" w:hAnsi="宋体"/>
                <w:sz w:val="18"/>
                <w:szCs w:val="18"/>
              </w:rPr>
              <w:t>发生事故后，不及时汇报或隐瞒事实真相。</w:t>
            </w:r>
          </w:p>
        </w:tc>
        <w:tc>
          <w:tcPr>
            <w:tcW w:w="2718" w:type="dxa"/>
            <w:vAlign w:val="center"/>
          </w:tcPr>
          <w:p>
            <w:pPr>
              <w:pStyle w:val="36"/>
              <w:rPr>
                <w:rFonts w:ascii="宋体" w:hAnsi="宋体" w:cs="Arial"/>
                <w:sz w:val="18"/>
                <w:szCs w:val="18"/>
              </w:rPr>
            </w:pPr>
            <w:r>
              <w:rPr>
                <w:rFonts w:hint="eastAsia" w:ascii="宋体" w:hAnsi="宋体" w:cs="Arial"/>
                <w:sz w:val="18"/>
                <w:szCs w:val="18"/>
              </w:rPr>
              <w:t>处罚</w:t>
            </w:r>
            <w:r>
              <w:rPr>
                <w:rFonts w:hint="eastAsia" w:ascii="宋体" w:hAnsi="宋体"/>
                <w:sz w:val="18"/>
                <w:szCs w:val="18"/>
              </w:rPr>
              <w:t>200～2000元/次；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30" w:type="dxa"/>
            <w:vAlign w:val="center"/>
          </w:tcPr>
          <w:p>
            <w:pPr>
              <w:ind w:leftChars="-31" w:hanging="65" w:hangingChars="36"/>
              <w:jc w:val="center"/>
              <w:rPr>
                <w:rFonts w:ascii="宋体" w:hAnsi="宋体"/>
                <w:b/>
                <w:sz w:val="18"/>
                <w:szCs w:val="18"/>
              </w:rPr>
            </w:pPr>
            <w:r>
              <w:rPr>
                <w:rFonts w:hint="eastAsia" w:ascii="宋体" w:hAnsi="宋体"/>
                <w:b/>
                <w:sz w:val="18"/>
                <w:szCs w:val="18"/>
              </w:rPr>
              <w:t>（二）</w:t>
            </w:r>
          </w:p>
        </w:tc>
        <w:tc>
          <w:tcPr>
            <w:tcW w:w="5002" w:type="dxa"/>
            <w:vAlign w:val="center"/>
          </w:tcPr>
          <w:p>
            <w:pPr>
              <w:rPr>
                <w:rFonts w:ascii="宋体" w:hAnsi="宋体"/>
                <w:b/>
                <w:sz w:val="18"/>
                <w:szCs w:val="18"/>
              </w:rPr>
            </w:pPr>
            <w:r>
              <w:rPr>
                <w:rFonts w:hint="eastAsia" w:ascii="宋体" w:hAnsi="宋体"/>
                <w:b/>
                <w:sz w:val="18"/>
                <w:szCs w:val="18"/>
              </w:rPr>
              <w:t>违章考核</w:t>
            </w:r>
          </w:p>
        </w:tc>
        <w:tc>
          <w:tcPr>
            <w:tcW w:w="2718" w:type="dxa"/>
            <w:vAlign w:val="center"/>
          </w:tcPr>
          <w:p>
            <w:pPr>
              <w:rPr>
                <w:rFonts w:ascii="宋体" w:hAnsi="宋体"/>
                <w:b/>
                <w:sz w:val="18"/>
                <w:szCs w:val="18"/>
              </w:rPr>
            </w:pPr>
          </w:p>
        </w:tc>
        <w:tc>
          <w:tcPr>
            <w:tcW w:w="731" w:type="dxa"/>
            <w:vAlign w:val="center"/>
          </w:tcPr>
          <w:p>
            <w:pPr>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进入生产现场不戴安全帽、未佩戴或配戴不合格的安全用品。</w:t>
            </w:r>
          </w:p>
        </w:tc>
        <w:tc>
          <w:tcPr>
            <w:tcW w:w="2718" w:type="dxa"/>
            <w:vAlign w:val="center"/>
          </w:tcPr>
          <w:p>
            <w:pPr>
              <w:pStyle w:val="36"/>
              <w:rPr>
                <w:rFonts w:ascii="宋体" w:hAnsi="宋体" w:cs="Arial"/>
                <w:sz w:val="18"/>
                <w:szCs w:val="18"/>
              </w:rPr>
            </w:pPr>
            <w:r>
              <w:rPr>
                <w:rFonts w:hint="eastAsia" w:ascii="宋体" w:hAnsi="宋体"/>
                <w:sz w:val="18"/>
                <w:szCs w:val="18"/>
              </w:rPr>
              <w:t>100元/次.人；</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发放或使用不合格劳动保护用品或未配置劳保用品。</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50元/次.人；</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无视安监部门、安监人员的警告，未及时消除事故隐患，根据情况的严重性进行处罚。</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100-500元/次；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安排未经安全教育或安全考核不合格人员进行现场施工。</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200元/人；</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安排不具备特种作业资格的人员进行特种作业。</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2000元/人；</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发布违反有关安全生产法令、法规和规章制度的命令，违章指挥施工。</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1000元/次；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招用未满十八周岁或超过六十周岁的人员进场从事高危施工作业。</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1000元/人；</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发生事故（包括未遂事故）后不及时组织并主持对事故进行调查、分析。</w:t>
            </w:r>
          </w:p>
        </w:tc>
        <w:tc>
          <w:tcPr>
            <w:tcW w:w="2718" w:type="dxa"/>
            <w:vAlign w:val="center"/>
          </w:tcPr>
          <w:p>
            <w:pPr>
              <w:pStyle w:val="36"/>
              <w:rPr>
                <w:rFonts w:ascii="宋体" w:hAnsi="宋体"/>
                <w:sz w:val="18"/>
                <w:szCs w:val="18"/>
              </w:rPr>
            </w:pPr>
            <w:r>
              <w:rPr>
                <w:rFonts w:hint="eastAsia" w:ascii="宋体" w:hAnsi="宋体"/>
                <w:sz w:val="18"/>
                <w:szCs w:val="18"/>
              </w:rPr>
              <w:t>处罚200～1000元/次；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流动电源盘无漏电保安器或漏电保安器失灵。</w:t>
            </w:r>
          </w:p>
        </w:tc>
        <w:tc>
          <w:tcPr>
            <w:tcW w:w="2718" w:type="dxa"/>
            <w:vAlign w:val="center"/>
          </w:tcPr>
          <w:p>
            <w:pPr>
              <w:pStyle w:val="36"/>
              <w:rPr>
                <w:rFonts w:ascii="宋体" w:hAnsi="宋体" w:cs="Arial"/>
                <w:sz w:val="18"/>
                <w:szCs w:val="18"/>
              </w:rPr>
            </w:pPr>
            <w:r>
              <w:rPr>
                <w:rFonts w:hint="eastAsia" w:ascii="宋体" w:hAnsi="宋体" w:cs="Arial"/>
                <w:sz w:val="18"/>
                <w:szCs w:val="18"/>
              </w:rPr>
              <w:t>处罚</w:t>
            </w:r>
            <w:r>
              <w:rPr>
                <w:rFonts w:hint="eastAsia" w:ascii="宋体" w:hAnsi="宋体"/>
                <w:sz w:val="18"/>
                <w:szCs w:val="18"/>
              </w:rPr>
              <w:t>100元/次；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不正确使用现场检修电源箱，导致电源箱插座等损坏。</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100元/次；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vAlign w:val="center"/>
          </w:tcPr>
          <w:p>
            <w:pPr>
              <w:pStyle w:val="36"/>
              <w:rPr>
                <w:rFonts w:ascii="宋体" w:hAnsi="宋体"/>
                <w:sz w:val="18"/>
                <w:szCs w:val="18"/>
              </w:rPr>
            </w:pPr>
            <w:r>
              <w:rPr>
                <w:rFonts w:hint="eastAsia" w:ascii="宋体" w:hAnsi="宋体"/>
                <w:sz w:val="18"/>
                <w:szCs w:val="18"/>
              </w:rPr>
              <w:t>高空作业抛投工具、备件等物品。</w:t>
            </w:r>
          </w:p>
        </w:tc>
        <w:tc>
          <w:tcPr>
            <w:tcW w:w="2718" w:type="dxa"/>
            <w:vAlign w:val="center"/>
          </w:tcPr>
          <w:p>
            <w:pPr>
              <w:pStyle w:val="36"/>
              <w:rPr>
                <w:rFonts w:ascii="宋体" w:hAnsi="宋体" w:cs="Arial"/>
                <w:sz w:val="18"/>
                <w:szCs w:val="18"/>
              </w:rPr>
            </w:pPr>
            <w:r>
              <w:rPr>
                <w:rFonts w:hint="eastAsia" w:ascii="宋体" w:hAnsi="宋体"/>
                <w:sz w:val="18"/>
                <w:szCs w:val="18"/>
              </w:rPr>
              <w:t>处罚100元/次；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在高处平台、孔洞边缘休息或倚坐栏杆。</w:t>
            </w:r>
          </w:p>
        </w:tc>
        <w:tc>
          <w:tcPr>
            <w:tcW w:w="2718" w:type="dxa"/>
            <w:vAlign w:val="center"/>
          </w:tcPr>
          <w:p>
            <w:pPr>
              <w:pStyle w:val="36"/>
              <w:rPr>
                <w:rFonts w:ascii="宋体" w:hAnsi="宋体" w:cs="Arial"/>
                <w:sz w:val="18"/>
                <w:szCs w:val="18"/>
              </w:rPr>
            </w:pPr>
            <w:r>
              <w:rPr>
                <w:rFonts w:hint="eastAsia" w:ascii="宋体" w:hAnsi="宋体" w:cs="Arial"/>
                <w:sz w:val="18"/>
                <w:szCs w:val="18"/>
              </w:rPr>
              <w:t>处罚</w:t>
            </w:r>
            <w:r>
              <w:rPr>
                <w:rFonts w:hint="eastAsia" w:ascii="宋体" w:hAnsi="宋体"/>
                <w:sz w:val="18"/>
                <w:szCs w:val="18"/>
              </w:rPr>
              <w:t>200元/次；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高处作业未按规定要求系挂好安全带，或使用破损不符合要求的安全带。</w:t>
            </w:r>
          </w:p>
        </w:tc>
        <w:tc>
          <w:tcPr>
            <w:tcW w:w="2718" w:type="dxa"/>
          </w:tcPr>
          <w:p>
            <w:pPr>
              <w:pStyle w:val="36"/>
              <w:rPr>
                <w:rFonts w:ascii="宋体" w:hAnsi="宋体" w:cs="Arial"/>
                <w:sz w:val="18"/>
                <w:szCs w:val="18"/>
              </w:rPr>
            </w:pPr>
            <w:r>
              <w:rPr>
                <w:rFonts w:hint="eastAsia" w:ascii="宋体" w:hAnsi="宋体" w:cs="Arial"/>
                <w:sz w:val="18"/>
                <w:szCs w:val="18"/>
              </w:rPr>
              <w:t>处罚</w:t>
            </w:r>
            <w:r>
              <w:rPr>
                <w:rFonts w:hint="eastAsia" w:ascii="宋体" w:hAnsi="宋体"/>
                <w:sz w:val="18"/>
                <w:szCs w:val="18"/>
              </w:rPr>
              <w:t>200元/次；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高处作业的工器具不系保险绳、作业点临空面无防坠落措施。</w:t>
            </w:r>
          </w:p>
        </w:tc>
        <w:tc>
          <w:tcPr>
            <w:tcW w:w="2718" w:type="dxa"/>
            <w:vAlign w:val="center"/>
          </w:tcPr>
          <w:p>
            <w:pPr>
              <w:pStyle w:val="36"/>
              <w:rPr>
                <w:rFonts w:ascii="宋体" w:hAnsi="宋体" w:cs="Arial"/>
                <w:sz w:val="18"/>
                <w:szCs w:val="18"/>
              </w:rPr>
            </w:pPr>
            <w:r>
              <w:rPr>
                <w:rFonts w:hint="eastAsia" w:ascii="宋体" w:hAnsi="宋体" w:cs="Arial"/>
                <w:sz w:val="18"/>
                <w:szCs w:val="18"/>
              </w:rPr>
              <w:t>处罚</w:t>
            </w:r>
            <w:r>
              <w:rPr>
                <w:rFonts w:hint="eastAsia" w:ascii="宋体" w:hAnsi="宋体"/>
                <w:sz w:val="18"/>
                <w:szCs w:val="18"/>
              </w:rPr>
              <w:t>200元/次；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高处作业时施工材料、工器具等放在临空面或孔洞附近。</w:t>
            </w:r>
          </w:p>
        </w:tc>
        <w:tc>
          <w:tcPr>
            <w:tcW w:w="2718" w:type="dxa"/>
          </w:tcPr>
          <w:p>
            <w:pPr>
              <w:pStyle w:val="36"/>
              <w:rPr>
                <w:rFonts w:ascii="宋体" w:hAnsi="宋体" w:cs="Arial"/>
                <w:sz w:val="18"/>
                <w:szCs w:val="18"/>
              </w:rPr>
            </w:pPr>
            <w:r>
              <w:rPr>
                <w:rFonts w:hint="eastAsia" w:ascii="宋体" w:hAnsi="宋体" w:cs="Arial"/>
                <w:sz w:val="18"/>
                <w:szCs w:val="18"/>
              </w:rPr>
              <w:t>处罚</w:t>
            </w:r>
            <w:r>
              <w:rPr>
                <w:rFonts w:hint="eastAsia" w:ascii="宋体" w:hAnsi="宋体"/>
                <w:sz w:val="18"/>
                <w:szCs w:val="18"/>
              </w:rPr>
              <w:t>100元/次；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高处作业使用时盛装工具不使用工具袋。</w:t>
            </w:r>
          </w:p>
        </w:tc>
        <w:tc>
          <w:tcPr>
            <w:tcW w:w="2718" w:type="dxa"/>
            <w:vAlign w:val="center"/>
          </w:tcPr>
          <w:p>
            <w:pPr>
              <w:pStyle w:val="36"/>
              <w:rPr>
                <w:rFonts w:ascii="宋体" w:hAnsi="宋体" w:cs="Arial"/>
                <w:sz w:val="18"/>
                <w:szCs w:val="18"/>
              </w:rPr>
            </w:pPr>
            <w:r>
              <w:rPr>
                <w:rFonts w:hint="eastAsia" w:ascii="宋体" w:hAnsi="宋体" w:cs="Arial"/>
                <w:sz w:val="18"/>
                <w:szCs w:val="18"/>
              </w:rPr>
              <w:t>处罚</w:t>
            </w:r>
            <w:r>
              <w:rPr>
                <w:rFonts w:hint="eastAsia" w:ascii="宋体" w:hAnsi="宋体"/>
                <w:sz w:val="18"/>
                <w:szCs w:val="18"/>
              </w:rPr>
              <w:t>100元/次；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擅自穿越围栏、安全警戒线。</w:t>
            </w:r>
          </w:p>
        </w:tc>
        <w:tc>
          <w:tcPr>
            <w:tcW w:w="2718" w:type="dxa"/>
            <w:vAlign w:val="center"/>
          </w:tcPr>
          <w:p>
            <w:pPr>
              <w:pStyle w:val="36"/>
              <w:rPr>
                <w:rFonts w:ascii="宋体" w:hAnsi="宋体" w:cs="Arial"/>
                <w:sz w:val="18"/>
                <w:szCs w:val="18"/>
              </w:rPr>
            </w:pPr>
            <w:r>
              <w:rPr>
                <w:rFonts w:hint="eastAsia" w:ascii="宋体" w:hAnsi="宋体" w:cs="Arial"/>
                <w:sz w:val="18"/>
                <w:szCs w:val="18"/>
              </w:rPr>
              <w:t>处罚</w:t>
            </w:r>
            <w:r>
              <w:rPr>
                <w:rFonts w:hint="eastAsia" w:ascii="宋体" w:hAnsi="宋体"/>
                <w:sz w:val="18"/>
                <w:szCs w:val="18"/>
              </w:rPr>
              <w:t>100元/次；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使用打磨机等不戴防护眼镜。</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100元/次；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施工现场随意用明火取暖者。</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500元/次；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在易燃、易爆或禁火区域携带火种、动用明火、穿带铁钉的鞋。</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200元/次；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进入特殊区域未按要求释放静电或使用规定以外的工具。</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200元/次；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30" w:type="dxa"/>
            <w:vAlign w:val="center"/>
          </w:tcPr>
          <w:p>
            <w:pPr>
              <w:numPr>
                <w:ilvl w:val="0"/>
                <w:numId w:val="8"/>
              </w:numPr>
              <w:ind w:left="0" w:leftChars="-31" w:hanging="65" w:hangingChars="36"/>
              <w:jc w:val="center"/>
              <w:rPr>
                <w:rFonts w:ascii="宋体" w:hAnsi="宋体"/>
                <w:b/>
                <w:sz w:val="18"/>
                <w:szCs w:val="18"/>
              </w:rPr>
            </w:pPr>
          </w:p>
        </w:tc>
        <w:tc>
          <w:tcPr>
            <w:tcW w:w="5002" w:type="dxa"/>
          </w:tcPr>
          <w:p>
            <w:pPr>
              <w:rPr>
                <w:rFonts w:ascii="宋体" w:hAnsi="宋体"/>
                <w:b/>
                <w:sz w:val="18"/>
                <w:szCs w:val="18"/>
              </w:rPr>
            </w:pPr>
            <w:r>
              <w:rPr>
                <w:rFonts w:hint="eastAsia" w:ascii="宋体" w:hAnsi="宋体"/>
                <w:sz w:val="18"/>
                <w:szCs w:val="18"/>
              </w:rPr>
              <w:t>易燃、易爆区域使用普通电器、电气工具（应使用防爆电器）。</w:t>
            </w:r>
          </w:p>
        </w:tc>
        <w:tc>
          <w:tcPr>
            <w:tcW w:w="2718" w:type="dxa"/>
            <w:vAlign w:val="center"/>
          </w:tcPr>
          <w:p>
            <w:pPr>
              <w:rPr>
                <w:rFonts w:ascii="宋体" w:hAnsi="宋体"/>
                <w:b/>
                <w:sz w:val="18"/>
                <w:szCs w:val="18"/>
              </w:rPr>
            </w:pPr>
            <w:r>
              <w:rPr>
                <w:rFonts w:hint="eastAsia" w:ascii="宋体" w:hAnsi="宋体" w:cs="Arial"/>
                <w:sz w:val="18"/>
                <w:szCs w:val="18"/>
              </w:rPr>
              <w:t>处罚</w:t>
            </w:r>
            <w:r>
              <w:rPr>
                <w:rFonts w:hint="eastAsia" w:ascii="宋体" w:hAnsi="宋体"/>
                <w:sz w:val="18"/>
                <w:szCs w:val="18"/>
              </w:rPr>
              <w:t>300元/次；</w:t>
            </w:r>
          </w:p>
        </w:tc>
        <w:tc>
          <w:tcPr>
            <w:tcW w:w="731" w:type="dxa"/>
            <w:vAlign w:val="center"/>
          </w:tcPr>
          <w:p>
            <w:pPr>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生产现场随意放置或储存易燃易爆物品。</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500元/次；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在没有可靠的技术措施和安全保障措施的状态下施工。</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1000元/次；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未进行施工项目开工前安全施工条件的检查与落实。</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300元/次；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把电缆桥架当梯子、平台或移作它用。</w:t>
            </w:r>
          </w:p>
        </w:tc>
        <w:tc>
          <w:tcPr>
            <w:tcW w:w="2718" w:type="dxa"/>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200元/次；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8"/>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 xml:space="preserve">踩踏、损坏现场设备、管道保温、电缆槽盒等，根据情况的严重性进行处罚。 </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100～500元/次；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0" w:type="dxa"/>
            <w:vAlign w:val="center"/>
          </w:tcPr>
          <w:p>
            <w:pPr>
              <w:numPr>
                <w:ilvl w:val="0"/>
                <w:numId w:val="8"/>
              </w:numPr>
              <w:ind w:left="-1" w:leftChars="-31" w:hanging="64" w:hangingChars="36"/>
              <w:jc w:val="center"/>
              <w:rPr>
                <w:rFonts w:ascii="宋体" w:hAnsi="宋体"/>
                <w:sz w:val="18"/>
                <w:szCs w:val="18"/>
              </w:rPr>
            </w:pPr>
          </w:p>
        </w:tc>
        <w:tc>
          <w:tcPr>
            <w:tcW w:w="5002" w:type="dxa"/>
            <w:vAlign w:val="center"/>
          </w:tcPr>
          <w:p>
            <w:pPr>
              <w:rPr>
                <w:rFonts w:ascii="宋体" w:hAnsi="宋体"/>
                <w:b/>
                <w:sz w:val="18"/>
                <w:szCs w:val="18"/>
              </w:rPr>
            </w:pPr>
            <w:r>
              <w:rPr>
                <w:rFonts w:hint="eastAsia" w:ascii="宋体" w:hAnsi="宋体"/>
                <w:sz w:val="18"/>
                <w:szCs w:val="18"/>
              </w:rPr>
              <w:t>踩压小口径管道及盘柜，根据情况的严重性进行处罚。</w:t>
            </w:r>
          </w:p>
        </w:tc>
        <w:tc>
          <w:tcPr>
            <w:tcW w:w="2718" w:type="dxa"/>
            <w:vAlign w:val="center"/>
          </w:tcPr>
          <w:p>
            <w:pPr>
              <w:rPr>
                <w:rFonts w:ascii="宋体" w:hAnsi="宋体"/>
                <w:b/>
                <w:sz w:val="18"/>
                <w:szCs w:val="18"/>
              </w:rPr>
            </w:pPr>
            <w:r>
              <w:rPr>
                <w:rFonts w:hint="eastAsia" w:ascii="宋体" w:hAnsi="宋体" w:cs="Arial"/>
                <w:sz w:val="18"/>
                <w:szCs w:val="18"/>
              </w:rPr>
              <w:t>处罚</w:t>
            </w:r>
            <w:r>
              <w:rPr>
                <w:rFonts w:hint="eastAsia" w:ascii="宋体" w:hAnsi="宋体"/>
                <w:sz w:val="18"/>
                <w:szCs w:val="18"/>
              </w:rPr>
              <w:t>200～500元/次；</w:t>
            </w:r>
          </w:p>
        </w:tc>
        <w:tc>
          <w:tcPr>
            <w:tcW w:w="731" w:type="dxa"/>
            <w:vAlign w:val="center"/>
          </w:tcPr>
          <w:p>
            <w:pPr>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0" w:type="dxa"/>
            <w:vAlign w:val="center"/>
          </w:tcPr>
          <w:p>
            <w:pPr>
              <w:ind w:leftChars="-31" w:hanging="65" w:hangingChars="36"/>
              <w:jc w:val="center"/>
              <w:rPr>
                <w:rFonts w:ascii="宋体" w:hAnsi="宋体"/>
                <w:b/>
                <w:sz w:val="18"/>
                <w:szCs w:val="18"/>
              </w:rPr>
            </w:pPr>
            <w:r>
              <w:rPr>
                <w:rFonts w:hint="eastAsia" w:ascii="宋体" w:hAnsi="宋体"/>
                <w:b/>
                <w:sz w:val="18"/>
                <w:szCs w:val="18"/>
              </w:rPr>
              <w:t>二</w:t>
            </w:r>
          </w:p>
        </w:tc>
        <w:tc>
          <w:tcPr>
            <w:tcW w:w="5002" w:type="dxa"/>
            <w:vAlign w:val="center"/>
          </w:tcPr>
          <w:p>
            <w:pPr>
              <w:rPr>
                <w:rFonts w:ascii="宋体" w:hAnsi="宋体"/>
                <w:b/>
                <w:sz w:val="18"/>
                <w:szCs w:val="18"/>
              </w:rPr>
            </w:pPr>
            <w:r>
              <w:rPr>
                <w:rFonts w:hint="eastAsia" w:ascii="宋体" w:hAnsi="宋体"/>
                <w:b/>
                <w:sz w:val="18"/>
                <w:szCs w:val="18"/>
              </w:rPr>
              <w:t>文明生产考核</w:t>
            </w:r>
          </w:p>
        </w:tc>
        <w:tc>
          <w:tcPr>
            <w:tcW w:w="2718" w:type="dxa"/>
            <w:vAlign w:val="center"/>
          </w:tcPr>
          <w:p>
            <w:pPr>
              <w:rPr>
                <w:rFonts w:ascii="宋体" w:hAnsi="宋体"/>
                <w:b/>
                <w:sz w:val="18"/>
                <w:szCs w:val="18"/>
              </w:rPr>
            </w:pPr>
          </w:p>
        </w:tc>
        <w:tc>
          <w:tcPr>
            <w:tcW w:w="731" w:type="dxa"/>
            <w:vAlign w:val="center"/>
          </w:tcPr>
          <w:p>
            <w:pPr>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9"/>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高处清理垃圾时未做任何防污染、防砸伤错施、环保措施直接抛掷，根据严重性。</w:t>
            </w:r>
          </w:p>
        </w:tc>
        <w:tc>
          <w:tcPr>
            <w:tcW w:w="2718" w:type="dxa"/>
            <w:vAlign w:val="center"/>
          </w:tcPr>
          <w:p>
            <w:pPr>
              <w:pStyle w:val="36"/>
              <w:rPr>
                <w:rFonts w:ascii="宋体" w:hAnsi="宋体"/>
                <w:sz w:val="18"/>
                <w:szCs w:val="18"/>
              </w:rPr>
            </w:pPr>
            <w:r>
              <w:rPr>
                <w:rFonts w:hint="eastAsia" w:ascii="宋体" w:hAnsi="宋体" w:cs="Arial"/>
                <w:sz w:val="18"/>
                <w:szCs w:val="18"/>
              </w:rPr>
              <w:t>处罚</w:t>
            </w:r>
            <w:r>
              <w:rPr>
                <w:rFonts w:hint="eastAsia" w:ascii="宋体" w:hAnsi="宋体"/>
                <w:sz w:val="18"/>
                <w:szCs w:val="18"/>
              </w:rPr>
              <w:t>200～2000元/次；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9"/>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sz w:val="18"/>
                <w:szCs w:val="18"/>
              </w:rPr>
              <w:t>工作中不执行设备检修规程、质量工艺要求、野蛮施工，</w:t>
            </w:r>
            <w:r>
              <w:rPr>
                <w:rFonts w:hint="eastAsia" w:ascii="宋体" w:hAnsi="宋体" w:cs="Arial"/>
                <w:sz w:val="18"/>
                <w:szCs w:val="18"/>
              </w:rPr>
              <w:t>根据性质的要性进行处罚。</w:t>
            </w:r>
          </w:p>
        </w:tc>
        <w:tc>
          <w:tcPr>
            <w:tcW w:w="2718" w:type="dxa"/>
            <w:vAlign w:val="center"/>
          </w:tcPr>
          <w:p>
            <w:pPr>
              <w:pStyle w:val="36"/>
              <w:rPr>
                <w:rFonts w:ascii="宋体" w:hAnsi="宋体"/>
                <w:sz w:val="18"/>
                <w:szCs w:val="18"/>
              </w:rPr>
            </w:pPr>
            <w:r>
              <w:rPr>
                <w:rFonts w:hint="eastAsia" w:ascii="宋体" w:hAnsi="宋体"/>
                <w:sz w:val="18"/>
                <w:szCs w:val="18"/>
              </w:rPr>
              <w:t>处罚100～1000元/次；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9"/>
              </w:numPr>
              <w:ind w:left="-1" w:leftChars="-31" w:hanging="64" w:hangingChars="36"/>
              <w:jc w:val="center"/>
              <w:rPr>
                <w:rFonts w:ascii="宋体" w:hAnsi="宋体"/>
                <w:sz w:val="18"/>
                <w:szCs w:val="18"/>
              </w:rPr>
            </w:pPr>
          </w:p>
        </w:tc>
        <w:tc>
          <w:tcPr>
            <w:tcW w:w="5002" w:type="dxa"/>
          </w:tcPr>
          <w:p>
            <w:pPr>
              <w:pStyle w:val="36"/>
              <w:rPr>
                <w:rFonts w:ascii="宋体" w:hAnsi="宋体"/>
                <w:sz w:val="18"/>
                <w:szCs w:val="18"/>
              </w:rPr>
            </w:pPr>
            <w:r>
              <w:rPr>
                <w:rFonts w:hint="eastAsia" w:ascii="宋体" w:hAnsi="宋体" w:cs="Arial"/>
                <w:sz w:val="18"/>
                <w:szCs w:val="18"/>
              </w:rPr>
              <w:t>工作</w:t>
            </w:r>
            <w:r>
              <w:rPr>
                <w:rFonts w:ascii="宋体" w:hAnsi="宋体" w:cs="Arial"/>
                <w:sz w:val="18"/>
                <w:szCs w:val="18"/>
              </w:rPr>
              <w:t>人员</w:t>
            </w:r>
            <w:r>
              <w:rPr>
                <w:rFonts w:hint="eastAsia" w:ascii="宋体" w:hAnsi="宋体" w:cs="Arial"/>
                <w:sz w:val="18"/>
                <w:szCs w:val="18"/>
              </w:rPr>
              <w:t>未</w:t>
            </w:r>
            <w:r>
              <w:rPr>
                <w:rFonts w:ascii="宋体" w:hAnsi="宋体" w:cs="Arial"/>
                <w:sz w:val="18"/>
                <w:szCs w:val="18"/>
              </w:rPr>
              <w:t>在指定的吸烟点吸烟，流动吸烟，乱</w:t>
            </w:r>
            <w:r>
              <w:rPr>
                <w:rFonts w:hint="eastAsia" w:ascii="宋体" w:hAnsi="宋体" w:cs="Arial"/>
                <w:sz w:val="18"/>
                <w:szCs w:val="18"/>
              </w:rPr>
              <w:t>扔</w:t>
            </w:r>
            <w:r>
              <w:rPr>
                <w:rFonts w:ascii="宋体" w:hAnsi="宋体" w:cs="Arial"/>
                <w:sz w:val="18"/>
                <w:szCs w:val="18"/>
              </w:rPr>
              <w:t>烟头</w:t>
            </w:r>
            <w:r>
              <w:rPr>
                <w:rFonts w:hint="eastAsia" w:ascii="宋体" w:hAnsi="宋体" w:cs="Arial"/>
                <w:sz w:val="18"/>
                <w:szCs w:val="18"/>
              </w:rPr>
              <w:t>(包括责任区域现场存在烟头)，</w:t>
            </w:r>
            <w:r>
              <w:rPr>
                <w:rFonts w:hint="eastAsia" w:ascii="宋体" w:hAnsi="宋体"/>
                <w:sz w:val="18"/>
                <w:szCs w:val="18"/>
              </w:rPr>
              <w:t>根据造成不良影响的严重性。</w:t>
            </w:r>
          </w:p>
        </w:tc>
        <w:tc>
          <w:tcPr>
            <w:tcW w:w="2718" w:type="dxa"/>
            <w:vAlign w:val="center"/>
          </w:tcPr>
          <w:p>
            <w:pPr>
              <w:pStyle w:val="36"/>
              <w:rPr>
                <w:rFonts w:ascii="宋体" w:hAnsi="宋体"/>
                <w:sz w:val="18"/>
                <w:szCs w:val="18"/>
              </w:rPr>
            </w:pPr>
            <w:r>
              <w:rPr>
                <w:rFonts w:hint="eastAsia" w:ascii="宋体" w:hAnsi="宋体"/>
                <w:sz w:val="18"/>
                <w:szCs w:val="18"/>
              </w:rPr>
              <w:t>区域有烟头处罚20元/烟头；</w:t>
            </w:r>
          </w:p>
          <w:p>
            <w:pPr>
              <w:pStyle w:val="36"/>
              <w:rPr>
                <w:rFonts w:ascii="宋体" w:hAnsi="宋体"/>
                <w:sz w:val="18"/>
                <w:szCs w:val="18"/>
              </w:rPr>
            </w:pPr>
            <w:r>
              <w:rPr>
                <w:rFonts w:hint="eastAsia" w:ascii="宋体" w:hAnsi="宋体"/>
                <w:sz w:val="18"/>
                <w:szCs w:val="18"/>
              </w:rPr>
              <w:t>吸烟：</w:t>
            </w:r>
            <w:r>
              <w:rPr>
                <w:rFonts w:ascii="宋体" w:hAnsi="宋体"/>
                <w:sz w:val="18"/>
                <w:szCs w:val="18"/>
              </w:rPr>
              <w:t>5</w:t>
            </w:r>
            <w:r>
              <w:rPr>
                <w:rFonts w:hint="eastAsia" w:ascii="宋体" w:hAnsi="宋体"/>
                <w:sz w:val="18"/>
                <w:szCs w:val="18"/>
              </w:rPr>
              <w:t>00/次；</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9"/>
              </w:numPr>
              <w:ind w:left="-1" w:leftChars="-31" w:hanging="64" w:hangingChars="36"/>
              <w:jc w:val="center"/>
              <w:rPr>
                <w:rFonts w:ascii="宋体" w:hAnsi="宋体"/>
                <w:sz w:val="18"/>
                <w:szCs w:val="18"/>
              </w:rPr>
            </w:pPr>
          </w:p>
        </w:tc>
        <w:tc>
          <w:tcPr>
            <w:tcW w:w="5002" w:type="dxa"/>
            <w:vAlign w:val="center"/>
          </w:tcPr>
          <w:p>
            <w:pPr>
              <w:pStyle w:val="36"/>
              <w:rPr>
                <w:rFonts w:ascii="宋体" w:hAnsi="宋体"/>
                <w:sz w:val="18"/>
                <w:szCs w:val="18"/>
              </w:rPr>
            </w:pPr>
            <w:r>
              <w:rPr>
                <w:rFonts w:hint="eastAsia" w:ascii="宋体" w:hAnsi="宋体"/>
                <w:sz w:val="18"/>
                <w:szCs w:val="18"/>
              </w:rPr>
              <w:t>投标方人员进入生产现场不穿代表投标方人员身份的标志性服装。</w:t>
            </w:r>
          </w:p>
        </w:tc>
        <w:tc>
          <w:tcPr>
            <w:tcW w:w="2718" w:type="dxa"/>
            <w:vAlign w:val="center"/>
          </w:tcPr>
          <w:p>
            <w:pPr>
              <w:pStyle w:val="36"/>
              <w:rPr>
                <w:rFonts w:ascii="宋体" w:hAnsi="宋体"/>
                <w:sz w:val="18"/>
                <w:szCs w:val="18"/>
              </w:rPr>
            </w:pPr>
            <w:r>
              <w:rPr>
                <w:rFonts w:hint="eastAsia" w:ascii="宋体" w:hAnsi="宋体"/>
                <w:sz w:val="18"/>
                <w:szCs w:val="18"/>
              </w:rPr>
              <w:t>处罚50元/人；</w:t>
            </w:r>
          </w:p>
        </w:tc>
        <w:tc>
          <w:tcPr>
            <w:tcW w:w="731" w:type="dxa"/>
          </w:tcPr>
          <w:p>
            <w:pPr>
              <w:pStyle w:val="36"/>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9"/>
              </w:numPr>
              <w:ind w:left="-1" w:leftChars="-31" w:hanging="64" w:hangingChars="36"/>
              <w:jc w:val="center"/>
              <w:rPr>
                <w:rFonts w:ascii="宋体" w:hAnsi="宋体"/>
                <w:sz w:val="18"/>
                <w:szCs w:val="18"/>
              </w:rPr>
            </w:pPr>
          </w:p>
        </w:tc>
        <w:tc>
          <w:tcPr>
            <w:tcW w:w="5002" w:type="dxa"/>
            <w:vAlign w:val="center"/>
          </w:tcPr>
          <w:p>
            <w:pPr>
              <w:rPr>
                <w:rFonts w:ascii="宋体" w:hAnsi="宋体"/>
                <w:sz w:val="18"/>
                <w:szCs w:val="18"/>
              </w:rPr>
            </w:pPr>
            <w:r>
              <w:rPr>
                <w:rFonts w:hint="eastAsia" w:ascii="宋体" w:hAnsi="宋体"/>
                <w:sz w:val="18"/>
                <w:szCs w:val="18"/>
              </w:rPr>
              <w:t>在建筑物、设备上乱写、乱涂乱画等</w:t>
            </w:r>
          </w:p>
        </w:tc>
        <w:tc>
          <w:tcPr>
            <w:tcW w:w="2718" w:type="dxa"/>
            <w:vAlign w:val="center"/>
          </w:tcPr>
          <w:p>
            <w:pPr>
              <w:rPr>
                <w:rFonts w:ascii="宋体" w:hAnsi="宋体"/>
                <w:sz w:val="18"/>
                <w:szCs w:val="18"/>
              </w:rPr>
            </w:pPr>
            <w:r>
              <w:rPr>
                <w:rFonts w:hint="eastAsia" w:ascii="宋体" w:hAnsi="宋体"/>
                <w:sz w:val="18"/>
                <w:szCs w:val="18"/>
              </w:rPr>
              <w:t>处罚100元/处；</w:t>
            </w:r>
          </w:p>
        </w:tc>
        <w:tc>
          <w:tcPr>
            <w:tcW w:w="731"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9"/>
              </w:numPr>
              <w:ind w:left="-1" w:leftChars="-31" w:hanging="64" w:hangingChars="36"/>
              <w:jc w:val="center"/>
              <w:rPr>
                <w:rFonts w:ascii="宋体" w:hAnsi="宋体"/>
                <w:sz w:val="18"/>
                <w:szCs w:val="18"/>
              </w:rPr>
            </w:pPr>
          </w:p>
        </w:tc>
        <w:tc>
          <w:tcPr>
            <w:tcW w:w="5002" w:type="dxa"/>
            <w:vAlign w:val="center"/>
          </w:tcPr>
          <w:p>
            <w:pPr>
              <w:rPr>
                <w:rFonts w:ascii="宋体" w:hAnsi="宋体"/>
                <w:sz w:val="18"/>
                <w:szCs w:val="18"/>
              </w:rPr>
            </w:pPr>
            <w:r>
              <w:rPr>
                <w:rFonts w:hint="eastAsia" w:ascii="宋体" w:hAnsi="宋体"/>
                <w:sz w:val="18"/>
                <w:szCs w:val="18"/>
              </w:rPr>
              <w:t>未做到检修维护作业现场道路通畅。</w:t>
            </w:r>
          </w:p>
        </w:tc>
        <w:tc>
          <w:tcPr>
            <w:tcW w:w="2718" w:type="dxa"/>
            <w:vAlign w:val="center"/>
          </w:tcPr>
          <w:p>
            <w:pPr>
              <w:rPr>
                <w:rFonts w:ascii="宋体" w:hAnsi="宋体"/>
                <w:sz w:val="18"/>
                <w:szCs w:val="18"/>
              </w:rPr>
            </w:pPr>
            <w:r>
              <w:rPr>
                <w:rFonts w:hint="eastAsia" w:ascii="宋体" w:hAnsi="宋体"/>
                <w:sz w:val="18"/>
                <w:szCs w:val="18"/>
              </w:rPr>
              <w:t>处罚200元/处；</w:t>
            </w:r>
          </w:p>
        </w:tc>
        <w:tc>
          <w:tcPr>
            <w:tcW w:w="731"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9"/>
              </w:numPr>
              <w:ind w:left="-1" w:leftChars="-31" w:hanging="64" w:hangingChars="36"/>
              <w:jc w:val="center"/>
              <w:rPr>
                <w:rFonts w:ascii="宋体" w:hAnsi="宋体"/>
                <w:sz w:val="18"/>
                <w:szCs w:val="18"/>
              </w:rPr>
            </w:pPr>
          </w:p>
        </w:tc>
        <w:tc>
          <w:tcPr>
            <w:tcW w:w="5002" w:type="dxa"/>
            <w:vAlign w:val="center"/>
          </w:tcPr>
          <w:p>
            <w:pPr>
              <w:rPr>
                <w:rFonts w:ascii="宋体" w:hAnsi="宋体"/>
                <w:sz w:val="18"/>
                <w:szCs w:val="18"/>
              </w:rPr>
            </w:pPr>
            <w:r>
              <w:rPr>
                <w:rFonts w:hint="eastAsia" w:ascii="宋体" w:hAnsi="宋体"/>
                <w:sz w:val="18"/>
                <w:szCs w:val="18"/>
              </w:rPr>
              <w:t>检修作业未做到“三不落地”、“三无”、“三齐”、“三不乱”、“工完料尽场地清”</w:t>
            </w:r>
            <w:r>
              <w:rPr>
                <w:rFonts w:hint="eastAsia" w:ascii="宋体" w:hAnsi="宋体" w:cs="Arial"/>
                <w:sz w:val="18"/>
                <w:szCs w:val="18"/>
              </w:rPr>
              <w:t xml:space="preserve"> ，</w:t>
            </w:r>
            <w:r>
              <w:rPr>
                <w:rFonts w:hint="eastAsia" w:ascii="宋体" w:hAnsi="宋体"/>
                <w:sz w:val="18"/>
                <w:szCs w:val="18"/>
              </w:rPr>
              <w:t>根据造成不良影响的严重性。</w:t>
            </w:r>
          </w:p>
        </w:tc>
        <w:tc>
          <w:tcPr>
            <w:tcW w:w="2718" w:type="dxa"/>
            <w:vAlign w:val="center"/>
          </w:tcPr>
          <w:p>
            <w:pPr>
              <w:rPr>
                <w:rFonts w:ascii="宋体" w:hAnsi="宋体"/>
                <w:sz w:val="18"/>
                <w:szCs w:val="18"/>
              </w:rPr>
            </w:pPr>
            <w:r>
              <w:rPr>
                <w:rFonts w:hint="eastAsia" w:ascii="宋体" w:hAnsi="宋体"/>
                <w:sz w:val="18"/>
                <w:szCs w:val="18"/>
              </w:rPr>
              <w:t>处罚100～1000元/处；</w:t>
            </w:r>
          </w:p>
        </w:tc>
        <w:tc>
          <w:tcPr>
            <w:tcW w:w="731"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9"/>
              </w:numPr>
              <w:ind w:left="-1" w:leftChars="-31" w:hanging="64" w:hangingChars="36"/>
              <w:jc w:val="center"/>
              <w:rPr>
                <w:rFonts w:ascii="宋体" w:hAnsi="宋体"/>
                <w:sz w:val="18"/>
                <w:szCs w:val="18"/>
              </w:rPr>
            </w:pPr>
          </w:p>
        </w:tc>
        <w:tc>
          <w:tcPr>
            <w:tcW w:w="5002" w:type="dxa"/>
            <w:vAlign w:val="center"/>
          </w:tcPr>
          <w:p>
            <w:pPr>
              <w:rPr>
                <w:rFonts w:ascii="宋体" w:hAnsi="宋体"/>
                <w:sz w:val="18"/>
                <w:szCs w:val="18"/>
              </w:rPr>
            </w:pPr>
            <w:r>
              <w:rPr>
                <w:rFonts w:hint="eastAsia" w:ascii="宋体" w:hAnsi="宋体"/>
                <w:sz w:val="18"/>
                <w:szCs w:val="18"/>
              </w:rPr>
              <w:t>机动车辆的驾驶和停放不符合厂内交通规定。</w:t>
            </w:r>
          </w:p>
        </w:tc>
        <w:tc>
          <w:tcPr>
            <w:tcW w:w="2718" w:type="dxa"/>
            <w:vAlign w:val="center"/>
          </w:tcPr>
          <w:p>
            <w:pPr>
              <w:rPr>
                <w:rFonts w:ascii="宋体" w:hAnsi="宋体"/>
                <w:sz w:val="18"/>
                <w:szCs w:val="18"/>
              </w:rPr>
            </w:pPr>
            <w:r>
              <w:rPr>
                <w:rFonts w:hint="eastAsia" w:ascii="宋体" w:hAnsi="宋体"/>
                <w:sz w:val="18"/>
                <w:szCs w:val="18"/>
              </w:rPr>
              <w:t>处罚200元/车.次；</w:t>
            </w:r>
          </w:p>
        </w:tc>
        <w:tc>
          <w:tcPr>
            <w:tcW w:w="731"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9"/>
              </w:numPr>
              <w:ind w:left="-1" w:leftChars="-31" w:hanging="64" w:hangingChars="36"/>
              <w:jc w:val="center"/>
              <w:rPr>
                <w:rFonts w:ascii="宋体" w:hAnsi="宋体"/>
                <w:sz w:val="18"/>
                <w:szCs w:val="18"/>
              </w:rPr>
            </w:pPr>
          </w:p>
        </w:tc>
        <w:tc>
          <w:tcPr>
            <w:tcW w:w="5002" w:type="dxa"/>
            <w:vAlign w:val="center"/>
          </w:tcPr>
          <w:p>
            <w:pPr>
              <w:rPr>
                <w:rFonts w:ascii="宋体" w:hAnsi="宋体"/>
                <w:sz w:val="18"/>
                <w:szCs w:val="18"/>
              </w:rPr>
            </w:pPr>
            <w:r>
              <w:rPr>
                <w:rFonts w:hint="eastAsia" w:ascii="宋体" w:hAnsi="宋体"/>
                <w:sz w:val="18"/>
                <w:szCs w:val="18"/>
              </w:rPr>
              <w:t>投标方工作人员损坏公共设施及花草树木</w:t>
            </w:r>
            <w:r>
              <w:rPr>
                <w:rFonts w:hint="eastAsia" w:ascii="宋体" w:hAnsi="宋体" w:cs="Arial"/>
                <w:sz w:val="18"/>
                <w:szCs w:val="18"/>
              </w:rPr>
              <w:t>，</w:t>
            </w:r>
            <w:r>
              <w:rPr>
                <w:rFonts w:hint="eastAsia" w:ascii="宋体" w:hAnsi="宋体"/>
                <w:sz w:val="18"/>
                <w:szCs w:val="18"/>
              </w:rPr>
              <w:t>根据造成不良影响的严重性。</w:t>
            </w:r>
          </w:p>
        </w:tc>
        <w:tc>
          <w:tcPr>
            <w:tcW w:w="2718" w:type="dxa"/>
            <w:vAlign w:val="center"/>
          </w:tcPr>
          <w:p>
            <w:pPr>
              <w:rPr>
                <w:rFonts w:ascii="宋体" w:hAnsi="宋体"/>
                <w:sz w:val="18"/>
                <w:szCs w:val="18"/>
              </w:rPr>
            </w:pPr>
            <w:r>
              <w:rPr>
                <w:rFonts w:hint="eastAsia" w:ascii="宋体" w:hAnsi="宋体"/>
                <w:sz w:val="18"/>
                <w:szCs w:val="18"/>
              </w:rPr>
              <w:t>处罚100～500元/次；</w:t>
            </w:r>
          </w:p>
        </w:tc>
        <w:tc>
          <w:tcPr>
            <w:tcW w:w="731"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9"/>
              </w:numPr>
              <w:ind w:left="-1" w:leftChars="-31" w:hanging="64" w:hangingChars="36"/>
              <w:jc w:val="center"/>
              <w:rPr>
                <w:rFonts w:ascii="宋体" w:hAnsi="宋体"/>
                <w:sz w:val="18"/>
                <w:szCs w:val="18"/>
              </w:rPr>
            </w:pPr>
          </w:p>
        </w:tc>
        <w:tc>
          <w:tcPr>
            <w:tcW w:w="5002" w:type="dxa"/>
            <w:vAlign w:val="center"/>
          </w:tcPr>
          <w:p>
            <w:pPr>
              <w:rPr>
                <w:rFonts w:ascii="宋体" w:hAnsi="宋体"/>
                <w:sz w:val="18"/>
                <w:szCs w:val="18"/>
              </w:rPr>
            </w:pPr>
            <w:r>
              <w:rPr>
                <w:rFonts w:hint="eastAsia" w:ascii="宋体" w:hAnsi="宋体"/>
                <w:sz w:val="18"/>
                <w:szCs w:val="18"/>
              </w:rPr>
              <w:t>检修后，检修区域杂物、废料、换下的备件未清理，根据脏乱程度和物品多少进行考核。</w:t>
            </w:r>
          </w:p>
        </w:tc>
        <w:tc>
          <w:tcPr>
            <w:tcW w:w="2718" w:type="dxa"/>
            <w:vAlign w:val="center"/>
          </w:tcPr>
          <w:p>
            <w:pPr>
              <w:rPr>
                <w:rFonts w:ascii="宋体" w:hAnsi="宋体"/>
                <w:sz w:val="18"/>
                <w:szCs w:val="18"/>
              </w:rPr>
            </w:pPr>
            <w:r>
              <w:rPr>
                <w:rFonts w:hint="eastAsia" w:ascii="宋体" w:hAnsi="宋体"/>
                <w:sz w:val="18"/>
                <w:szCs w:val="18"/>
              </w:rPr>
              <w:t>处罚100～1000元/处；</w:t>
            </w:r>
          </w:p>
        </w:tc>
        <w:tc>
          <w:tcPr>
            <w:tcW w:w="731"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9"/>
              </w:numPr>
              <w:ind w:left="-1" w:leftChars="-31" w:hanging="64" w:hangingChars="36"/>
              <w:jc w:val="center"/>
              <w:rPr>
                <w:rFonts w:ascii="宋体" w:hAnsi="宋体"/>
                <w:sz w:val="18"/>
                <w:szCs w:val="18"/>
              </w:rPr>
            </w:pPr>
          </w:p>
        </w:tc>
        <w:tc>
          <w:tcPr>
            <w:tcW w:w="5002" w:type="dxa"/>
          </w:tcPr>
          <w:p>
            <w:pPr>
              <w:rPr>
                <w:rFonts w:ascii="宋体" w:hAnsi="宋体"/>
                <w:sz w:val="18"/>
                <w:szCs w:val="18"/>
              </w:rPr>
            </w:pPr>
            <w:r>
              <w:rPr>
                <w:rFonts w:hint="eastAsia" w:ascii="宋体" w:hAnsi="宋体"/>
                <w:sz w:val="18"/>
                <w:szCs w:val="18"/>
              </w:rPr>
              <w:t>不按指定地点堆放垃圾，任意倾倒工业及生活垃圾，根据情况的严重性进行处罚。</w:t>
            </w:r>
          </w:p>
        </w:tc>
        <w:tc>
          <w:tcPr>
            <w:tcW w:w="2718" w:type="dxa"/>
            <w:vAlign w:val="center"/>
          </w:tcPr>
          <w:p>
            <w:pPr>
              <w:rPr>
                <w:rFonts w:ascii="宋体" w:hAnsi="宋体" w:cs="Arial"/>
                <w:sz w:val="18"/>
                <w:szCs w:val="18"/>
              </w:rPr>
            </w:pPr>
            <w:r>
              <w:rPr>
                <w:rFonts w:hint="eastAsia" w:ascii="宋体" w:hAnsi="宋体" w:cs="Arial"/>
                <w:sz w:val="18"/>
                <w:szCs w:val="18"/>
              </w:rPr>
              <w:t>处罚</w:t>
            </w:r>
            <w:r>
              <w:rPr>
                <w:rFonts w:hint="eastAsia" w:ascii="宋体" w:hAnsi="宋体"/>
                <w:sz w:val="18"/>
                <w:szCs w:val="18"/>
              </w:rPr>
              <w:t>100～300元/次；</w:t>
            </w:r>
          </w:p>
        </w:tc>
        <w:tc>
          <w:tcPr>
            <w:tcW w:w="731" w:type="dxa"/>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9"/>
              </w:numPr>
              <w:ind w:left="-1" w:leftChars="-31" w:hanging="64" w:hangingChars="36"/>
              <w:jc w:val="center"/>
              <w:rPr>
                <w:rFonts w:ascii="宋体" w:hAnsi="宋体"/>
                <w:sz w:val="18"/>
                <w:szCs w:val="18"/>
              </w:rPr>
            </w:pPr>
          </w:p>
        </w:tc>
        <w:tc>
          <w:tcPr>
            <w:tcW w:w="5002" w:type="dxa"/>
            <w:vAlign w:val="center"/>
          </w:tcPr>
          <w:p>
            <w:pPr>
              <w:rPr>
                <w:rFonts w:ascii="宋体" w:hAnsi="宋体"/>
                <w:sz w:val="18"/>
                <w:szCs w:val="18"/>
              </w:rPr>
            </w:pPr>
            <w:r>
              <w:rPr>
                <w:rFonts w:hint="eastAsia" w:ascii="宋体" w:hAnsi="宋体"/>
                <w:sz w:val="18"/>
                <w:szCs w:val="18"/>
              </w:rPr>
              <w:t>投标方违规的其它未列事项。</w:t>
            </w:r>
          </w:p>
        </w:tc>
        <w:tc>
          <w:tcPr>
            <w:tcW w:w="2718" w:type="dxa"/>
          </w:tcPr>
          <w:p>
            <w:pPr>
              <w:rPr>
                <w:rFonts w:ascii="宋体" w:hAnsi="宋体"/>
                <w:sz w:val="18"/>
                <w:szCs w:val="18"/>
              </w:rPr>
            </w:pPr>
            <w:r>
              <w:rPr>
                <w:rFonts w:hint="eastAsia" w:ascii="宋体" w:hAnsi="宋体"/>
                <w:sz w:val="18"/>
                <w:szCs w:val="18"/>
              </w:rPr>
              <w:t>按招标方</w:t>
            </w:r>
            <w:r>
              <w:rPr>
                <w:rFonts w:ascii="宋体" w:hAnsi="宋体"/>
                <w:sz w:val="18"/>
                <w:szCs w:val="18"/>
              </w:rPr>
              <w:t>承包商相关</w:t>
            </w:r>
            <w:r>
              <w:rPr>
                <w:rFonts w:hint="eastAsia" w:ascii="宋体" w:hAnsi="宋体"/>
                <w:sz w:val="18"/>
                <w:szCs w:val="18"/>
              </w:rPr>
              <w:t>管理制度执行。</w:t>
            </w:r>
          </w:p>
        </w:tc>
        <w:tc>
          <w:tcPr>
            <w:tcW w:w="731" w:type="dxa"/>
            <w:vAlign w:val="center"/>
          </w:tcPr>
          <w:p>
            <w:pPr>
              <w:rPr>
                <w:rFonts w:ascii="宋体" w:hAnsi="宋体"/>
                <w:sz w:val="18"/>
                <w:szCs w:val="18"/>
              </w:rPr>
            </w:pPr>
          </w:p>
        </w:tc>
      </w:tr>
    </w:tbl>
    <w:p>
      <w:pPr>
        <w:adjustRightInd w:val="0"/>
        <w:snapToGrid w:val="0"/>
        <w:spacing w:line="360" w:lineRule="auto"/>
        <w:ind w:left="720"/>
        <w:rPr>
          <w:rFonts w:ascii="宋体" w:hAnsi="宋体"/>
          <w:b/>
          <w:bCs/>
          <w:szCs w:val="21"/>
        </w:rPr>
      </w:pPr>
    </w:p>
    <w:p>
      <w:pPr>
        <w:pStyle w:val="2"/>
        <w:spacing w:before="312" w:after="156"/>
      </w:pPr>
      <w:bookmarkStart w:id="26" w:name="_Toc29140"/>
      <w:r>
        <w:t>1</w:t>
      </w:r>
      <w:r>
        <w:rPr>
          <w:rFonts w:hint="eastAsia"/>
        </w:rPr>
        <w:t>1</w:t>
      </w:r>
      <w:r>
        <w:t>.</w:t>
      </w:r>
      <w:r>
        <w:rPr>
          <w:rFonts w:hint="eastAsia"/>
        </w:rPr>
        <w:t>投标附件</w:t>
      </w:r>
      <w:bookmarkEnd w:id="26"/>
    </w:p>
    <w:p>
      <w:pPr>
        <w:spacing w:line="300" w:lineRule="auto"/>
        <w:ind w:firstLine="539"/>
        <w:rPr>
          <w:rFonts w:ascii="宋体"/>
          <w:szCs w:val="21"/>
        </w:rPr>
      </w:pPr>
      <w:r>
        <w:rPr>
          <w:rFonts w:hint="eastAsia" w:ascii="宋体" w:hAnsi="宋体"/>
          <w:szCs w:val="21"/>
        </w:rPr>
        <w:t>投标人应根据本技术规范数和招标人提供的资料进行施工。</w:t>
      </w:r>
    </w:p>
    <w:p>
      <w:pPr>
        <w:spacing w:line="300" w:lineRule="auto"/>
        <w:ind w:firstLine="539"/>
        <w:rPr>
          <w:rFonts w:ascii="宋体"/>
          <w:szCs w:val="21"/>
        </w:rPr>
      </w:pPr>
      <w:r>
        <w:rPr>
          <w:rFonts w:hint="eastAsia" w:ascii="宋体" w:hAnsi="宋体"/>
          <w:szCs w:val="21"/>
        </w:rPr>
        <w:t>投标人必须提交下列技术文件：</w:t>
      </w:r>
    </w:p>
    <w:p>
      <w:pPr>
        <w:spacing w:line="300" w:lineRule="auto"/>
        <w:ind w:firstLine="539"/>
        <w:rPr>
          <w:rFonts w:ascii="宋体"/>
          <w:szCs w:val="21"/>
        </w:rPr>
      </w:pPr>
      <w:r>
        <w:rPr>
          <w:rFonts w:ascii="宋体" w:hAnsi="宋体"/>
          <w:szCs w:val="21"/>
        </w:rPr>
        <w:t>1</w:t>
      </w:r>
      <w:r>
        <w:rPr>
          <w:rFonts w:hint="eastAsia" w:ascii="宋体" w:hAnsi="宋体"/>
          <w:szCs w:val="21"/>
        </w:rPr>
        <w:t>0</w:t>
      </w:r>
      <w:r>
        <w:rPr>
          <w:rFonts w:ascii="宋体" w:hAnsi="宋体"/>
          <w:szCs w:val="21"/>
        </w:rPr>
        <w:t>.1</w:t>
      </w:r>
      <w:r>
        <w:rPr>
          <w:rFonts w:hint="eastAsia" w:ascii="宋体" w:hAnsi="宋体"/>
          <w:szCs w:val="21"/>
        </w:rPr>
        <w:t>检验人员资质证书</w:t>
      </w:r>
    </w:p>
    <w:p>
      <w:pPr>
        <w:spacing w:line="300" w:lineRule="auto"/>
        <w:ind w:firstLine="539"/>
        <w:rPr>
          <w:rFonts w:ascii="宋体"/>
          <w:szCs w:val="21"/>
        </w:rPr>
      </w:pPr>
      <w:r>
        <w:rPr>
          <w:rFonts w:ascii="宋体" w:hAnsi="宋体"/>
          <w:szCs w:val="21"/>
        </w:rPr>
        <w:t>1</w:t>
      </w:r>
      <w:r>
        <w:rPr>
          <w:rFonts w:hint="eastAsia" w:ascii="宋体" w:hAnsi="宋体"/>
          <w:szCs w:val="21"/>
        </w:rPr>
        <w:t>0</w:t>
      </w:r>
      <w:r>
        <w:rPr>
          <w:rFonts w:ascii="宋体" w:hAnsi="宋体"/>
          <w:szCs w:val="21"/>
        </w:rPr>
        <w:t>.2</w:t>
      </w:r>
      <w:r>
        <w:rPr>
          <w:rFonts w:hint="eastAsia" w:ascii="宋体" w:hAnsi="宋体"/>
          <w:szCs w:val="21"/>
        </w:rPr>
        <w:t>检测业绩表（含项目名称、电厂名称、机组容量、实施时间）</w:t>
      </w:r>
    </w:p>
    <w:p>
      <w:pPr>
        <w:spacing w:line="300" w:lineRule="auto"/>
        <w:ind w:firstLine="539"/>
        <w:rPr>
          <w:rFonts w:ascii="宋体"/>
          <w:szCs w:val="21"/>
        </w:rPr>
      </w:pPr>
      <w:r>
        <w:rPr>
          <w:rFonts w:ascii="宋体" w:hAnsi="宋体"/>
          <w:szCs w:val="21"/>
        </w:rPr>
        <w:t>1</w:t>
      </w:r>
      <w:r>
        <w:rPr>
          <w:rFonts w:hint="eastAsia" w:ascii="宋体" w:hAnsi="宋体"/>
          <w:szCs w:val="21"/>
        </w:rPr>
        <w:t>0</w:t>
      </w:r>
      <w:r>
        <w:rPr>
          <w:rFonts w:ascii="宋体" w:hAnsi="宋体"/>
          <w:szCs w:val="21"/>
        </w:rPr>
        <w:t>.3</w:t>
      </w:r>
      <w:r>
        <w:rPr>
          <w:rFonts w:hint="eastAsia" w:ascii="宋体" w:hAnsi="宋体"/>
          <w:szCs w:val="21"/>
        </w:rPr>
        <w:t>施工技术措施方案、安全健康环境保障措施</w:t>
      </w:r>
    </w:p>
    <w:p>
      <w:pPr>
        <w:spacing w:line="300" w:lineRule="auto"/>
        <w:ind w:firstLine="539"/>
        <w:rPr>
          <w:rFonts w:ascii="宋体"/>
          <w:szCs w:val="21"/>
        </w:rPr>
      </w:pPr>
      <w:r>
        <w:rPr>
          <w:rFonts w:ascii="宋体" w:hAnsi="宋体"/>
          <w:szCs w:val="21"/>
        </w:rPr>
        <w:t>1</w:t>
      </w:r>
      <w:r>
        <w:rPr>
          <w:rFonts w:hint="eastAsia" w:ascii="宋体" w:hAnsi="宋体"/>
          <w:szCs w:val="21"/>
        </w:rPr>
        <w:t>0</w:t>
      </w:r>
      <w:r>
        <w:rPr>
          <w:rFonts w:ascii="宋体" w:hAnsi="宋体"/>
          <w:szCs w:val="21"/>
        </w:rPr>
        <w:t>.4</w:t>
      </w:r>
      <w:r>
        <w:rPr>
          <w:rFonts w:hint="eastAsia" w:ascii="宋体" w:hAnsi="宋体"/>
          <w:szCs w:val="21"/>
        </w:rPr>
        <w:t>检验人员资质清单（参加本工程技术骨干人员的姓名、从业年限、专业职称、健康状况，资质证）</w:t>
      </w:r>
    </w:p>
    <w:p>
      <w:pPr>
        <w:spacing w:line="300" w:lineRule="auto"/>
        <w:ind w:firstLine="539"/>
        <w:rPr>
          <w:rFonts w:ascii="宋体" w:hAnsi="宋体"/>
          <w:szCs w:val="21"/>
        </w:rPr>
      </w:pPr>
      <w:r>
        <w:rPr>
          <w:rFonts w:ascii="宋体" w:hAnsi="宋体"/>
          <w:szCs w:val="21"/>
        </w:rPr>
        <w:t>1</w:t>
      </w:r>
      <w:r>
        <w:rPr>
          <w:rFonts w:hint="eastAsia" w:ascii="宋体" w:hAnsi="宋体"/>
          <w:szCs w:val="21"/>
        </w:rPr>
        <w:t>0</w:t>
      </w:r>
      <w:r>
        <w:rPr>
          <w:rFonts w:ascii="宋体" w:hAnsi="宋体"/>
          <w:szCs w:val="21"/>
        </w:rPr>
        <w:t>.5</w:t>
      </w:r>
      <w:r>
        <w:rPr>
          <w:rFonts w:hint="eastAsia" w:ascii="宋体" w:hAnsi="宋体"/>
          <w:szCs w:val="21"/>
        </w:rPr>
        <w:t>检验仪器等设备清单（包含检定合格记录）。</w:t>
      </w:r>
    </w:p>
    <w:p>
      <w:pPr>
        <w:spacing w:line="300" w:lineRule="auto"/>
        <w:ind w:firstLine="539"/>
      </w:pPr>
    </w:p>
    <w:sectPr>
      <w:footerReference r:id="rId9" w:type="default"/>
      <w:pgSz w:w="11906" w:h="16838"/>
      <w:pgMar w:top="1418" w:right="1134" w:bottom="1470" w:left="1418" w:header="851" w:footer="28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Style w:val="19"/>
      </w:rPr>
      <w:fldChar w:fldCharType="begin"/>
    </w:r>
    <w:r>
      <w:rPr>
        <w:rStyle w:val="19"/>
      </w:rPr>
      <w:instrText xml:space="preserve"> PAGE </w:instrText>
    </w:r>
    <w:r>
      <w:rPr>
        <w:rStyle w:val="19"/>
      </w:rPr>
      <w:fldChar w:fldCharType="separate"/>
    </w:r>
    <w:r>
      <w:rPr>
        <w:rStyle w:val="19"/>
      </w:rPr>
      <w:t>28</w:t>
    </w:r>
    <w:r>
      <w:rPr>
        <w:rStyle w:val="1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zh-CN"/>
      </w:rPr>
      <w:t xml:space="preserve"> </w: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hint="eastAsia"/>
                            </w:rPr>
                            <w:t>第</w:t>
                          </w:r>
                          <w:r>
                            <w:rPr>
                              <w:bCs/>
                            </w:rPr>
                            <w:fldChar w:fldCharType="begin"/>
                          </w:r>
                          <w:r>
                            <w:rPr>
                              <w:bCs/>
                            </w:rPr>
                            <w:instrText xml:space="preserve">PAGE</w:instrText>
                          </w:r>
                          <w:r>
                            <w:rPr>
                              <w:bCs/>
                            </w:rPr>
                            <w:fldChar w:fldCharType="separate"/>
                          </w:r>
                          <w:r>
                            <w:rPr>
                              <w:bCs/>
                            </w:rPr>
                            <w:t>9</w:t>
                          </w:r>
                          <w:r>
                            <w:rPr>
                              <w:bCs/>
                            </w:rPr>
                            <w:fldChar w:fldCharType="end"/>
                          </w:r>
                          <w:r>
                            <w:rPr>
                              <w:rFonts w:hint="eastAsia"/>
                              <w:bCs/>
                            </w:rPr>
                            <w:t>页</w:t>
                          </w:r>
                          <w:r>
                            <w:rPr>
                              <w:bCs/>
                            </w:rPr>
                            <w:t xml:space="preserve"> </w:t>
                          </w:r>
                          <w:r>
                            <w:rPr>
                              <w:rFonts w:hint="eastAsia"/>
                              <w:bCs/>
                            </w:rPr>
                            <w:t xml:space="preserve"> 共</w:t>
                          </w:r>
                          <w:r>
                            <w:rPr>
                              <w:lang w:val="zh-CN"/>
                            </w:rPr>
                            <w:t xml:space="preserve"> </w:t>
                          </w:r>
                          <w:r>
                            <w:rPr>
                              <w:rFonts w:hint="eastAsia"/>
                            </w:rPr>
                            <w:t>9</w:t>
                          </w:r>
                          <w:r>
                            <w:rPr>
                              <w:rFonts w:hint="eastAsia"/>
                              <w:lang w:val="zh-CN"/>
                            </w:rPr>
                            <w:t xml:space="preserve"> </w:t>
                          </w:r>
                          <w:r>
                            <w:rPr>
                              <w:rFonts w:hint="eastAsia"/>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9"/>
                      <w:jc w:val="center"/>
                    </w:pPr>
                    <w:r>
                      <w:rPr>
                        <w:rFonts w:hint="eastAsia"/>
                      </w:rPr>
                      <w:t>第</w:t>
                    </w:r>
                    <w:r>
                      <w:rPr>
                        <w:bCs/>
                      </w:rPr>
                      <w:fldChar w:fldCharType="begin"/>
                    </w:r>
                    <w:r>
                      <w:rPr>
                        <w:bCs/>
                      </w:rPr>
                      <w:instrText xml:space="preserve">PAGE</w:instrText>
                    </w:r>
                    <w:r>
                      <w:rPr>
                        <w:bCs/>
                      </w:rPr>
                      <w:fldChar w:fldCharType="separate"/>
                    </w:r>
                    <w:r>
                      <w:rPr>
                        <w:bCs/>
                      </w:rPr>
                      <w:t>9</w:t>
                    </w:r>
                    <w:r>
                      <w:rPr>
                        <w:bCs/>
                      </w:rPr>
                      <w:fldChar w:fldCharType="end"/>
                    </w:r>
                    <w:r>
                      <w:rPr>
                        <w:rFonts w:hint="eastAsia"/>
                        <w:bCs/>
                      </w:rPr>
                      <w:t>页</w:t>
                    </w:r>
                    <w:r>
                      <w:rPr>
                        <w:bCs/>
                      </w:rPr>
                      <w:t xml:space="preserve"> </w:t>
                    </w:r>
                    <w:r>
                      <w:rPr>
                        <w:rFonts w:hint="eastAsia"/>
                        <w:bCs/>
                      </w:rPr>
                      <w:t xml:space="preserve"> 共</w:t>
                    </w:r>
                    <w:r>
                      <w:rPr>
                        <w:lang w:val="zh-CN"/>
                      </w:rPr>
                      <w:t xml:space="preserve"> </w:t>
                    </w:r>
                    <w:r>
                      <w:rPr>
                        <w:rFonts w:hint="eastAsia"/>
                      </w:rPr>
                      <w:t>9</w:t>
                    </w:r>
                    <w:r>
                      <w:rPr>
                        <w:rFonts w:hint="eastAsia"/>
                        <w:lang w:val="zh-CN"/>
                      </w:rPr>
                      <w:t xml:space="preserve"> </w:t>
                    </w:r>
                    <w:r>
                      <w:rPr>
                        <w:rFonts w:hint="eastAsia"/>
                        <w:bCs/>
                      </w:rPr>
                      <w:t>页</w:t>
                    </w: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黑体" w:eastAsia="黑体"/>
        <w:kern w:val="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center"/>
      <w:textAlignment w:val="baseline"/>
    </w:pPr>
    <w:r>
      <w:rPr>
        <w:rFonts w:ascii="宋体" w:hAnsi="宋体" w:cs="宋体"/>
        <w:sz w:val="20"/>
      </w:rPr>
      <w:drawing>
        <wp:inline distT="0" distB="0" distL="0" distR="0">
          <wp:extent cx="531495" cy="52070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1495" cy="52070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b w:val="0"/>
        <w:bCs/>
      </w:rPr>
      <w:t>2024</w:t>
    </w:r>
    <w:r>
      <w:rPr>
        <w:rFonts w:hint="eastAsia"/>
        <w:b w:val="0"/>
        <w:bCs/>
      </w:rPr>
      <w:t>年度一期</w:t>
    </w:r>
    <w:r>
      <w:rPr>
        <w:b w:val="0"/>
        <w:bCs/>
      </w:rPr>
      <w:t>1</w:t>
    </w:r>
    <w:r>
      <w:rPr>
        <w:rFonts w:hint="eastAsia"/>
        <w:b w:val="0"/>
        <w:bCs/>
      </w:rPr>
      <w:t>、</w:t>
    </w:r>
    <w:r>
      <w:rPr>
        <w:b w:val="0"/>
        <w:bCs/>
      </w:rPr>
      <w:t>2</w:t>
    </w:r>
    <w:r>
      <w:rPr>
        <w:rFonts w:hint="eastAsia"/>
        <w:b w:val="0"/>
        <w:bCs/>
      </w:rPr>
      <w:t>号锅炉受热面管状态检验及</w:t>
    </w:r>
    <w:r>
      <w:rPr>
        <w:rFonts w:hint="eastAsia"/>
        <w:b w:val="0"/>
        <w:bCs/>
        <w:lang w:eastAsia="zh-CN"/>
      </w:rPr>
      <w:t>评价</w:t>
    </w:r>
    <w:r>
      <w:rPr>
        <w:rFonts w:hint="eastAsia"/>
        <w:sz w:val="18"/>
        <w:szCs w:val="18"/>
      </w:rPr>
      <w:t>技术规范书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pPr>
    <w:r>
      <w:rPr>
        <w:rFonts w:ascii="宋体" w:hAnsi="宋体" w:cs="宋体"/>
        <w:sz w:val="20"/>
      </w:rPr>
      <w:drawing>
        <wp:inline distT="0" distB="0" distL="0" distR="0">
          <wp:extent cx="531495" cy="52070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1495" cy="52070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b w:val="0"/>
        <w:bCs/>
      </w:rPr>
      <w:t>2024</w:t>
    </w:r>
    <w:r>
      <w:rPr>
        <w:rFonts w:hint="eastAsia"/>
        <w:b w:val="0"/>
        <w:bCs/>
      </w:rPr>
      <w:t>年度一期</w:t>
    </w:r>
    <w:r>
      <w:rPr>
        <w:b w:val="0"/>
        <w:bCs/>
      </w:rPr>
      <w:t>1</w:t>
    </w:r>
    <w:r>
      <w:rPr>
        <w:rFonts w:hint="eastAsia"/>
        <w:b w:val="0"/>
        <w:bCs/>
      </w:rPr>
      <w:t>、</w:t>
    </w:r>
    <w:r>
      <w:rPr>
        <w:b w:val="0"/>
        <w:bCs/>
      </w:rPr>
      <w:t>2</w:t>
    </w:r>
    <w:r>
      <w:rPr>
        <w:rFonts w:hint="eastAsia"/>
        <w:b w:val="0"/>
        <w:bCs/>
      </w:rPr>
      <w:t>号锅炉受热面管状态检验及</w:t>
    </w:r>
    <w:r>
      <w:rPr>
        <w:rFonts w:hint="eastAsia"/>
        <w:b w:val="0"/>
        <w:bCs/>
        <w:lang w:eastAsia="zh-CN"/>
      </w:rPr>
      <w:t>评价</w:t>
    </w:r>
    <w:r>
      <w:rPr>
        <w:rFonts w:hint="eastAsia"/>
        <w:sz w:val="18"/>
        <w:szCs w:val="18"/>
      </w:rPr>
      <w:t>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E0C91"/>
    <w:multiLevelType w:val="multilevel"/>
    <w:tmpl w:val="11EE0C91"/>
    <w:lvl w:ilvl="0" w:tentative="0">
      <w:start w:val="1"/>
      <w:numFmt w:val="decimal"/>
      <w:suff w:val="space"/>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064164"/>
    <w:multiLevelType w:val="multilevel"/>
    <w:tmpl w:val="19064164"/>
    <w:lvl w:ilvl="0" w:tentative="0">
      <w:start w:val="1"/>
      <w:numFmt w:val="decimal"/>
      <w:suff w:val="space"/>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530287"/>
    <w:multiLevelType w:val="multilevel"/>
    <w:tmpl w:val="4753028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B6E0132"/>
    <w:multiLevelType w:val="multilevel"/>
    <w:tmpl w:val="4B6E0132"/>
    <w:lvl w:ilvl="0" w:tentative="0">
      <w:start w:val="1"/>
      <w:numFmt w:val="decimal"/>
      <w:suff w:val="space"/>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E2223"/>
    <w:multiLevelType w:val="multilevel"/>
    <w:tmpl w:val="4F4E2223"/>
    <w:lvl w:ilvl="0" w:tentative="0">
      <w:start w:val="1"/>
      <w:numFmt w:val="decimal"/>
      <w:suff w:val="space"/>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B6335D"/>
    <w:multiLevelType w:val="multilevel"/>
    <w:tmpl w:val="62B6335D"/>
    <w:lvl w:ilvl="0" w:tentative="0">
      <w:start w:val="1"/>
      <w:numFmt w:val="decimal"/>
      <w:suff w:val="space"/>
      <w:lvlText w:val="%1"/>
      <w:lvlJc w:val="left"/>
      <w:pPr>
        <w:ind w:left="420"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6E7BB8"/>
    <w:multiLevelType w:val="multilevel"/>
    <w:tmpl w:val="656E7BB8"/>
    <w:lvl w:ilvl="0" w:tentative="0">
      <w:start w:val="1"/>
      <w:numFmt w:val="none"/>
      <w:suff w:val="nothing"/>
      <w:lvlText w:val=""/>
      <w:lvlJc w:val="left"/>
      <w:rPr>
        <w:rFonts w:hint="eastAsia" w:ascii="黑体" w:hAnsi="Times New Roman" w:eastAsia="黑体" w:cs="Times New Roman"/>
        <w:b/>
        <w:i w:val="0"/>
        <w:sz w:val="28"/>
      </w:rPr>
    </w:lvl>
    <w:lvl w:ilvl="1" w:tentative="0">
      <w:start w:val="1"/>
      <w:numFmt w:val="decimal"/>
      <w:pStyle w:val="29"/>
      <w:lvlText w:val="%1%2"/>
      <w:lvlJc w:val="left"/>
      <w:pPr>
        <w:tabs>
          <w:tab w:val="left" w:pos="360"/>
        </w:tabs>
      </w:pPr>
      <w:rPr>
        <w:rFonts w:hint="eastAsia" w:ascii="黑体" w:hAnsi="Times New Roman" w:eastAsia="黑体" w:cs="Times New Roman"/>
        <w:b w:val="0"/>
        <w:i w:val="0"/>
        <w:sz w:val="20"/>
      </w:rPr>
    </w:lvl>
    <w:lvl w:ilvl="2" w:tentative="0">
      <w:start w:val="1"/>
      <w:numFmt w:val="decimal"/>
      <w:pStyle w:val="28"/>
      <w:lvlText w:val="%1%2.%3"/>
      <w:lvlJc w:val="left"/>
      <w:pPr>
        <w:tabs>
          <w:tab w:val="left" w:pos="720"/>
        </w:tabs>
      </w:pPr>
      <w:rPr>
        <w:rFonts w:hint="eastAsia" w:ascii="黑体" w:hAnsi="Times New Roman" w:eastAsia="黑体" w:cs="Times New Roman"/>
        <w:b w:val="0"/>
        <w:i w:val="0"/>
        <w:color w:val="auto"/>
        <w:sz w:val="21"/>
      </w:rPr>
    </w:lvl>
    <w:lvl w:ilvl="3" w:tentative="0">
      <w:start w:val="1"/>
      <w:numFmt w:val="decimal"/>
      <w:pStyle w:val="30"/>
      <w:lvlText w:val="%1%2.%3.%4"/>
      <w:lvlJc w:val="left"/>
      <w:pPr>
        <w:tabs>
          <w:tab w:val="left" w:pos="862"/>
        </w:tabs>
      </w:pPr>
      <w:rPr>
        <w:rFonts w:hint="eastAsia" w:ascii="黑体" w:hAnsi="Times New Roman" w:eastAsia="黑体" w:cs="Times New Roman"/>
        <w:b w:val="0"/>
        <w:i w:val="0"/>
        <w:sz w:val="21"/>
      </w:rPr>
    </w:lvl>
    <w:lvl w:ilvl="4" w:tentative="0">
      <w:start w:val="1"/>
      <w:numFmt w:val="decimal"/>
      <w:pStyle w:val="31"/>
      <w:lvlText w:val="%2.%3.%4.%5"/>
      <w:lvlJc w:val="left"/>
      <w:pPr>
        <w:tabs>
          <w:tab w:val="left" w:pos="1080"/>
        </w:tabs>
      </w:pPr>
      <w:rPr>
        <w:rFonts w:hint="eastAsia" w:ascii="黑体" w:hAnsi="Times New Roman" w:eastAsia="黑体" w:cs="Times New Roman"/>
        <w:b w:val="0"/>
        <w:i w:val="0"/>
        <w:sz w:val="21"/>
      </w:rPr>
    </w:lvl>
    <w:lvl w:ilvl="5" w:tentative="0">
      <w:start w:val="1"/>
      <w:numFmt w:val="decimal"/>
      <w:pStyle w:val="32"/>
      <w:lvlText w:val="%2.%3.%4.%5.%6"/>
      <w:lvlJc w:val="left"/>
      <w:pPr>
        <w:tabs>
          <w:tab w:val="left" w:pos="1021"/>
        </w:tabs>
        <w:ind w:left="1021" w:hanging="1021"/>
      </w:pPr>
      <w:rPr>
        <w:rFonts w:hint="eastAsia" w:ascii="黑体" w:hAnsi="Times New Roman" w:eastAsia="黑体" w:cs="Times New Roman"/>
        <w:b/>
        <w:i w:val="0"/>
        <w:sz w:val="21"/>
      </w:rPr>
    </w:lvl>
    <w:lvl w:ilvl="6" w:tentative="0">
      <w:start w:val="1"/>
      <w:numFmt w:val="decimal"/>
      <w:lvlRestart w:val="0"/>
      <w:pStyle w:val="33"/>
      <w:lvlText w:val="%2.%3.%4.%5.%6.%7"/>
      <w:lvlJc w:val="left"/>
      <w:pPr>
        <w:tabs>
          <w:tab w:val="left" w:pos="1440"/>
        </w:tabs>
      </w:pPr>
      <w:rPr>
        <w:rFonts w:hint="eastAsia" w:ascii="黑体" w:hAnsi="Times New Roman" w:eastAsia="黑体" w:cs="Times New Roman"/>
        <w:b/>
        <w:i w:val="0"/>
        <w:sz w:val="21"/>
      </w:rPr>
    </w:lvl>
    <w:lvl w:ilvl="7" w:tentative="0">
      <w:start w:val="1"/>
      <w:numFmt w:val="decimal"/>
      <w:lvlRestart w:val="0"/>
      <w:lvlText w:val="图 %2.0.%5 -%8"/>
      <w:lvlJc w:val="left"/>
      <w:pPr>
        <w:tabs>
          <w:tab w:val="left" w:pos="1440"/>
        </w:tabs>
      </w:pPr>
      <w:rPr>
        <w:rFonts w:hint="eastAsia" w:ascii="黑体" w:eastAsia="黑体" w:cs="Times New Roman"/>
        <w:b/>
        <w:i w:val="0"/>
        <w:sz w:val="21"/>
      </w:rPr>
    </w:lvl>
    <w:lvl w:ilvl="8" w:tentative="0">
      <w:start w:val="1"/>
      <w:numFmt w:val="decimal"/>
      <w:lvlRestart w:val="0"/>
      <w:lvlText w:val="      %9)"/>
      <w:lvlJc w:val="left"/>
      <w:pPr>
        <w:tabs>
          <w:tab w:val="left" w:pos="1080"/>
        </w:tabs>
      </w:pPr>
      <w:rPr>
        <w:rFonts w:hint="eastAsia" w:ascii="黑体" w:hAnsi="华文细黑" w:eastAsia="黑体" w:cs="Times New Roman"/>
        <w:b/>
        <w:i w:val="0"/>
        <w:sz w:val="21"/>
      </w:rPr>
    </w:lvl>
  </w:abstractNum>
  <w:abstractNum w:abstractNumId="7">
    <w:nsid w:val="6EA86569"/>
    <w:multiLevelType w:val="multilevel"/>
    <w:tmpl w:val="6EA86569"/>
    <w:lvl w:ilvl="0" w:tentative="0">
      <w:start w:val="1"/>
      <w:numFmt w:val="decimal"/>
      <w:suff w:val="space"/>
      <w:lvlText w:val="%1"/>
      <w:lvlJc w:val="left"/>
      <w:pPr>
        <w:ind w:left="420" w:hanging="420"/>
      </w:pPr>
      <w:rPr>
        <w:rFonts w:hint="eastAsia" w:ascii="宋体" w:hAnsi="宋体" w:eastAsia="宋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2583E"/>
    <w:multiLevelType w:val="multilevel"/>
    <w:tmpl w:val="7352583E"/>
    <w:lvl w:ilvl="0" w:tentative="0">
      <w:start w:val="1"/>
      <w:numFmt w:val="decimal"/>
      <w:suff w:val="space"/>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5"/>
  </w:num>
  <w:num w:numId="4">
    <w:abstractNumId w:val="7"/>
  </w:num>
  <w:num w:numId="5">
    <w:abstractNumId w:val="4"/>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NzUyYWQxY2NmZjdiMzMxOWU5YzgzOWNiNjJjOWQifQ=="/>
  </w:docVars>
  <w:rsids>
    <w:rsidRoot w:val="00F26B93"/>
    <w:rsid w:val="00000893"/>
    <w:rsid w:val="00000E11"/>
    <w:rsid w:val="00004515"/>
    <w:rsid w:val="00006B5B"/>
    <w:rsid w:val="000241F3"/>
    <w:rsid w:val="00030118"/>
    <w:rsid w:val="00032C85"/>
    <w:rsid w:val="00034EC4"/>
    <w:rsid w:val="00037890"/>
    <w:rsid w:val="00042CCA"/>
    <w:rsid w:val="00050FF4"/>
    <w:rsid w:val="00055945"/>
    <w:rsid w:val="000712B6"/>
    <w:rsid w:val="00072449"/>
    <w:rsid w:val="00076351"/>
    <w:rsid w:val="00082F81"/>
    <w:rsid w:val="000856E4"/>
    <w:rsid w:val="00093F6A"/>
    <w:rsid w:val="000A27D4"/>
    <w:rsid w:val="000A4B16"/>
    <w:rsid w:val="000C05F7"/>
    <w:rsid w:val="000C49A0"/>
    <w:rsid w:val="000D1B5B"/>
    <w:rsid w:val="000D3383"/>
    <w:rsid w:val="000E0B58"/>
    <w:rsid w:val="000E1C79"/>
    <w:rsid w:val="000F6AAD"/>
    <w:rsid w:val="00102400"/>
    <w:rsid w:val="001034A5"/>
    <w:rsid w:val="00107D2E"/>
    <w:rsid w:val="001240D6"/>
    <w:rsid w:val="001251EC"/>
    <w:rsid w:val="0013545A"/>
    <w:rsid w:val="00137862"/>
    <w:rsid w:val="00141B6C"/>
    <w:rsid w:val="00143548"/>
    <w:rsid w:val="001510CC"/>
    <w:rsid w:val="001536D7"/>
    <w:rsid w:val="0015370E"/>
    <w:rsid w:val="0015798C"/>
    <w:rsid w:val="001634D0"/>
    <w:rsid w:val="00164CB2"/>
    <w:rsid w:val="001756BF"/>
    <w:rsid w:val="00183BEB"/>
    <w:rsid w:val="001843A8"/>
    <w:rsid w:val="00193E27"/>
    <w:rsid w:val="001A0CD8"/>
    <w:rsid w:val="001B4182"/>
    <w:rsid w:val="001C3EEA"/>
    <w:rsid w:val="001D20AE"/>
    <w:rsid w:val="001D2D3E"/>
    <w:rsid w:val="001D4407"/>
    <w:rsid w:val="001D577D"/>
    <w:rsid w:val="001E3BF2"/>
    <w:rsid w:val="001E5CAC"/>
    <w:rsid w:val="001E679C"/>
    <w:rsid w:val="00204AB2"/>
    <w:rsid w:val="00210736"/>
    <w:rsid w:val="00221BC4"/>
    <w:rsid w:val="00241A32"/>
    <w:rsid w:val="0025317B"/>
    <w:rsid w:val="0025698D"/>
    <w:rsid w:val="00262AFC"/>
    <w:rsid w:val="00263402"/>
    <w:rsid w:val="00264640"/>
    <w:rsid w:val="00264FF2"/>
    <w:rsid w:val="00267BC2"/>
    <w:rsid w:val="00291366"/>
    <w:rsid w:val="002949A6"/>
    <w:rsid w:val="00297221"/>
    <w:rsid w:val="002A1D72"/>
    <w:rsid w:val="002B6627"/>
    <w:rsid w:val="002C348D"/>
    <w:rsid w:val="002C5106"/>
    <w:rsid w:val="002C6F86"/>
    <w:rsid w:val="002D513E"/>
    <w:rsid w:val="002D5D20"/>
    <w:rsid w:val="002E16E5"/>
    <w:rsid w:val="002F2FF7"/>
    <w:rsid w:val="002F3625"/>
    <w:rsid w:val="00306FA8"/>
    <w:rsid w:val="00313A0B"/>
    <w:rsid w:val="003154C3"/>
    <w:rsid w:val="00316779"/>
    <w:rsid w:val="00320232"/>
    <w:rsid w:val="003272C6"/>
    <w:rsid w:val="00327F07"/>
    <w:rsid w:val="00331F94"/>
    <w:rsid w:val="00336895"/>
    <w:rsid w:val="00345608"/>
    <w:rsid w:val="00347EDB"/>
    <w:rsid w:val="003523AF"/>
    <w:rsid w:val="00356961"/>
    <w:rsid w:val="00360F38"/>
    <w:rsid w:val="00364F3F"/>
    <w:rsid w:val="0039026A"/>
    <w:rsid w:val="00390B3B"/>
    <w:rsid w:val="00390D39"/>
    <w:rsid w:val="003C3D04"/>
    <w:rsid w:val="003D570F"/>
    <w:rsid w:val="003E4D8E"/>
    <w:rsid w:val="003E5EFD"/>
    <w:rsid w:val="003F4A32"/>
    <w:rsid w:val="00421337"/>
    <w:rsid w:val="0042447E"/>
    <w:rsid w:val="00432A48"/>
    <w:rsid w:val="00432C9D"/>
    <w:rsid w:val="0043643F"/>
    <w:rsid w:val="00443735"/>
    <w:rsid w:val="0045206E"/>
    <w:rsid w:val="004636CF"/>
    <w:rsid w:val="00465A21"/>
    <w:rsid w:val="00471DFB"/>
    <w:rsid w:val="00485179"/>
    <w:rsid w:val="004902DC"/>
    <w:rsid w:val="004923B0"/>
    <w:rsid w:val="0049245F"/>
    <w:rsid w:val="004975C3"/>
    <w:rsid w:val="004A716D"/>
    <w:rsid w:val="004B3405"/>
    <w:rsid w:val="004B4EE2"/>
    <w:rsid w:val="004D0FFA"/>
    <w:rsid w:val="0050043B"/>
    <w:rsid w:val="00507F6C"/>
    <w:rsid w:val="00513C19"/>
    <w:rsid w:val="00524131"/>
    <w:rsid w:val="00526E71"/>
    <w:rsid w:val="00542238"/>
    <w:rsid w:val="00542899"/>
    <w:rsid w:val="005505A8"/>
    <w:rsid w:val="005509B4"/>
    <w:rsid w:val="005559C4"/>
    <w:rsid w:val="005608C0"/>
    <w:rsid w:val="005640A0"/>
    <w:rsid w:val="0057030D"/>
    <w:rsid w:val="00572509"/>
    <w:rsid w:val="00586206"/>
    <w:rsid w:val="00594E3C"/>
    <w:rsid w:val="005A440F"/>
    <w:rsid w:val="005C28FC"/>
    <w:rsid w:val="005E04B3"/>
    <w:rsid w:val="005E0AFE"/>
    <w:rsid w:val="005E2F19"/>
    <w:rsid w:val="005F05F7"/>
    <w:rsid w:val="006128E7"/>
    <w:rsid w:val="006439A2"/>
    <w:rsid w:val="00644CEE"/>
    <w:rsid w:val="00650B74"/>
    <w:rsid w:val="00654E5B"/>
    <w:rsid w:val="0065618A"/>
    <w:rsid w:val="006573B2"/>
    <w:rsid w:val="006875B7"/>
    <w:rsid w:val="00691C7B"/>
    <w:rsid w:val="006B096B"/>
    <w:rsid w:val="006B18E2"/>
    <w:rsid w:val="006B3B38"/>
    <w:rsid w:val="006B5452"/>
    <w:rsid w:val="006B62EC"/>
    <w:rsid w:val="006C3C12"/>
    <w:rsid w:val="006C3D6C"/>
    <w:rsid w:val="006D622B"/>
    <w:rsid w:val="006E18C4"/>
    <w:rsid w:val="006E227C"/>
    <w:rsid w:val="006E563E"/>
    <w:rsid w:val="006E7E1D"/>
    <w:rsid w:val="006F1A63"/>
    <w:rsid w:val="00700605"/>
    <w:rsid w:val="00701BB7"/>
    <w:rsid w:val="00705EFD"/>
    <w:rsid w:val="00706019"/>
    <w:rsid w:val="00730160"/>
    <w:rsid w:val="00731EC2"/>
    <w:rsid w:val="0073691F"/>
    <w:rsid w:val="00736B9D"/>
    <w:rsid w:val="00740FD1"/>
    <w:rsid w:val="007464F4"/>
    <w:rsid w:val="00746503"/>
    <w:rsid w:val="00750335"/>
    <w:rsid w:val="007567DA"/>
    <w:rsid w:val="00762557"/>
    <w:rsid w:val="00763C3E"/>
    <w:rsid w:val="00763CB1"/>
    <w:rsid w:val="00764D36"/>
    <w:rsid w:val="007704B1"/>
    <w:rsid w:val="00780200"/>
    <w:rsid w:val="00784C93"/>
    <w:rsid w:val="00786BF5"/>
    <w:rsid w:val="007A2878"/>
    <w:rsid w:val="007A38C5"/>
    <w:rsid w:val="007A79EE"/>
    <w:rsid w:val="007B6C16"/>
    <w:rsid w:val="007B79B8"/>
    <w:rsid w:val="007C3575"/>
    <w:rsid w:val="007C3AFC"/>
    <w:rsid w:val="007C7718"/>
    <w:rsid w:val="007D7B83"/>
    <w:rsid w:val="008030B5"/>
    <w:rsid w:val="008140CF"/>
    <w:rsid w:val="00814AA9"/>
    <w:rsid w:val="00822E5E"/>
    <w:rsid w:val="008255E1"/>
    <w:rsid w:val="00835F3F"/>
    <w:rsid w:val="00836577"/>
    <w:rsid w:val="00872DAA"/>
    <w:rsid w:val="00873028"/>
    <w:rsid w:val="0087454D"/>
    <w:rsid w:val="00894B2C"/>
    <w:rsid w:val="008A5E9F"/>
    <w:rsid w:val="008B42C8"/>
    <w:rsid w:val="008B6DF1"/>
    <w:rsid w:val="008C2E57"/>
    <w:rsid w:val="008C7E14"/>
    <w:rsid w:val="008D54FB"/>
    <w:rsid w:val="008D62AE"/>
    <w:rsid w:val="008D7D0A"/>
    <w:rsid w:val="008E2710"/>
    <w:rsid w:val="008E3827"/>
    <w:rsid w:val="008F1E61"/>
    <w:rsid w:val="008F3BE6"/>
    <w:rsid w:val="00910835"/>
    <w:rsid w:val="009253F1"/>
    <w:rsid w:val="00925B02"/>
    <w:rsid w:val="009267E7"/>
    <w:rsid w:val="00932132"/>
    <w:rsid w:val="0093293E"/>
    <w:rsid w:val="0093479C"/>
    <w:rsid w:val="00941A3D"/>
    <w:rsid w:val="0094409E"/>
    <w:rsid w:val="00945D19"/>
    <w:rsid w:val="00946A83"/>
    <w:rsid w:val="00952E6D"/>
    <w:rsid w:val="0096028E"/>
    <w:rsid w:val="009624DF"/>
    <w:rsid w:val="00970AAE"/>
    <w:rsid w:val="00975F77"/>
    <w:rsid w:val="00981837"/>
    <w:rsid w:val="0098751F"/>
    <w:rsid w:val="009920F2"/>
    <w:rsid w:val="00993270"/>
    <w:rsid w:val="00994A1B"/>
    <w:rsid w:val="009A0A06"/>
    <w:rsid w:val="009B13C0"/>
    <w:rsid w:val="009B5CDB"/>
    <w:rsid w:val="009C340C"/>
    <w:rsid w:val="009D04E3"/>
    <w:rsid w:val="009D440E"/>
    <w:rsid w:val="009D6ADB"/>
    <w:rsid w:val="009F35A2"/>
    <w:rsid w:val="009F7FA9"/>
    <w:rsid w:val="00A011CF"/>
    <w:rsid w:val="00A03679"/>
    <w:rsid w:val="00A12D64"/>
    <w:rsid w:val="00A20271"/>
    <w:rsid w:val="00A34057"/>
    <w:rsid w:val="00A40198"/>
    <w:rsid w:val="00A41B19"/>
    <w:rsid w:val="00A50687"/>
    <w:rsid w:val="00A50A61"/>
    <w:rsid w:val="00A614BB"/>
    <w:rsid w:val="00A7010A"/>
    <w:rsid w:val="00A76532"/>
    <w:rsid w:val="00A77347"/>
    <w:rsid w:val="00A77B9A"/>
    <w:rsid w:val="00A8178C"/>
    <w:rsid w:val="00A857AC"/>
    <w:rsid w:val="00A86607"/>
    <w:rsid w:val="00A91944"/>
    <w:rsid w:val="00AA2574"/>
    <w:rsid w:val="00AA3176"/>
    <w:rsid w:val="00AA4CB3"/>
    <w:rsid w:val="00AA5B39"/>
    <w:rsid w:val="00AA7482"/>
    <w:rsid w:val="00AC009A"/>
    <w:rsid w:val="00AC6157"/>
    <w:rsid w:val="00AC7439"/>
    <w:rsid w:val="00AD78DF"/>
    <w:rsid w:val="00AE2671"/>
    <w:rsid w:val="00AF2E40"/>
    <w:rsid w:val="00AF5F3D"/>
    <w:rsid w:val="00B05729"/>
    <w:rsid w:val="00B065CE"/>
    <w:rsid w:val="00B133DC"/>
    <w:rsid w:val="00B14A44"/>
    <w:rsid w:val="00B155D4"/>
    <w:rsid w:val="00B200FF"/>
    <w:rsid w:val="00B37E66"/>
    <w:rsid w:val="00B40F08"/>
    <w:rsid w:val="00B42CA4"/>
    <w:rsid w:val="00B51BDD"/>
    <w:rsid w:val="00B56224"/>
    <w:rsid w:val="00B63CB4"/>
    <w:rsid w:val="00B66349"/>
    <w:rsid w:val="00B802C5"/>
    <w:rsid w:val="00B81B3F"/>
    <w:rsid w:val="00B854CD"/>
    <w:rsid w:val="00B9012B"/>
    <w:rsid w:val="00BA2C91"/>
    <w:rsid w:val="00BA7BEB"/>
    <w:rsid w:val="00BB64F9"/>
    <w:rsid w:val="00BB7837"/>
    <w:rsid w:val="00BC6E0B"/>
    <w:rsid w:val="00BD6779"/>
    <w:rsid w:val="00BE2D87"/>
    <w:rsid w:val="00BE7CCB"/>
    <w:rsid w:val="00BF107F"/>
    <w:rsid w:val="00BF33AA"/>
    <w:rsid w:val="00BF3693"/>
    <w:rsid w:val="00C02395"/>
    <w:rsid w:val="00C0329D"/>
    <w:rsid w:val="00C04E5D"/>
    <w:rsid w:val="00C06F6A"/>
    <w:rsid w:val="00C2308E"/>
    <w:rsid w:val="00C23B00"/>
    <w:rsid w:val="00C257AC"/>
    <w:rsid w:val="00C31118"/>
    <w:rsid w:val="00C370C0"/>
    <w:rsid w:val="00C477D3"/>
    <w:rsid w:val="00C50B80"/>
    <w:rsid w:val="00C56266"/>
    <w:rsid w:val="00C61B94"/>
    <w:rsid w:val="00C6650C"/>
    <w:rsid w:val="00C66D73"/>
    <w:rsid w:val="00C85062"/>
    <w:rsid w:val="00C9076B"/>
    <w:rsid w:val="00C958DD"/>
    <w:rsid w:val="00CA5D77"/>
    <w:rsid w:val="00CB3D15"/>
    <w:rsid w:val="00CC1A4F"/>
    <w:rsid w:val="00CC27DD"/>
    <w:rsid w:val="00CD7722"/>
    <w:rsid w:val="00CE29C6"/>
    <w:rsid w:val="00CE4A98"/>
    <w:rsid w:val="00CF0F72"/>
    <w:rsid w:val="00CF1532"/>
    <w:rsid w:val="00D01401"/>
    <w:rsid w:val="00D02229"/>
    <w:rsid w:val="00D07511"/>
    <w:rsid w:val="00D07602"/>
    <w:rsid w:val="00D10F9F"/>
    <w:rsid w:val="00D401B5"/>
    <w:rsid w:val="00D431EA"/>
    <w:rsid w:val="00D575C5"/>
    <w:rsid w:val="00D62306"/>
    <w:rsid w:val="00D62B6E"/>
    <w:rsid w:val="00D66ABB"/>
    <w:rsid w:val="00D67061"/>
    <w:rsid w:val="00D70405"/>
    <w:rsid w:val="00D7649F"/>
    <w:rsid w:val="00D83359"/>
    <w:rsid w:val="00D84834"/>
    <w:rsid w:val="00D90B7C"/>
    <w:rsid w:val="00D95049"/>
    <w:rsid w:val="00D95785"/>
    <w:rsid w:val="00D97F3E"/>
    <w:rsid w:val="00DA5720"/>
    <w:rsid w:val="00DA641B"/>
    <w:rsid w:val="00DE1412"/>
    <w:rsid w:val="00DF15FD"/>
    <w:rsid w:val="00DF2723"/>
    <w:rsid w:val="00DF310D"/>
    <w:rsid w:val="00DF4EF9"/>
    <w:rsid w:val="00E02371"/>
    <w:rsid w:val="00E0732D"/>
    <w:rsid w:val="00E1616A"/>
    <w:rsid w:val="00E20407"/>
    <w:rsid w:val="00E279F5"/>
    <w:rsid w:val="00E368B3"/>
    <w:rsid w:val="00E37D1F"/>
    <w:rsid w:val="00E530AF"/>
    <w:rsid w:val="00E6188C"/>
    <w:rsid w:val="00E67BEA"/>
    <w:rsid w:val="00E70209"/>
    <w:rsid w:val="00E80E72"/>
    <w:rsid w:val="00E9680A"/>
    <w:rsid w:val="00EA37A7"/>
    <w:rsid w:val="00EB41C1"/>
    <w:rsid w:val="00EB6CC7"/>
    <w:rsid w:val="00EC14AB"/>
    <w:rsid w:val="00EC2AD5"/>
    <w:rsid w:val="00ED47DB"/>
    <w:rsid w:val="00ED6BC6"/>
    <w:rsid w:val="00EE02D7"/>
    <w:rsid w:val="00EE18C0"/>
    <w:rsid w:val="00EE2EBF"/>
    <w:rsid w:val="00EE34E0"/>
    <w:rsid w:val="00EE617A"/>
    <w:rsid w:val="00EE76A9"/>
    <w:rsid w:val="00EE7966"/>
    <w:rsid w:val="00EF4407"/>
    <w:rsid w:val="00F11A4D"/>
    <w:rsid w:val="00F2263A"/>
    <w:rsid w:val="00F26B93"/>
    <w:rsid w:val="00F3065C"/>
    <w:rsid w:val="00F30B8A"/>
    <w:rsid w:val="00F611E5"/>
    <w:rsid w:val="00F61430"/>
    <w:rsid w:val="00F621C6"/>
    <w:rsid w:val="00F669DE"/>
    <w:rsid w:val="00F7466E"/>
    <w:rsid w:val="00F81AA0"/>
    <w:rsid w:val="00F84C25"/>
    <w:rsid w:val="00F92A96"/>
    <w:rsid w:val="00FA18ED"/>
    <w:rsid w:val="00FB5BAB"/>
    <w:rsid w:val="00FC2439"/>
    <w:rsid w:val="00FC47EC"/>
    <w:rsid w:val="00FD19BE"/>
    <w:rsid w:val="00FD5438"/>
    <w:rsid w:val="00FD7A54"/>
    <w:rsid w:val="00FF043F"/>
    <w:rsid w:val="00FF3497"/>
    <w:rsid w:val="08BD224C"/>
    <w:rsid w:val="09F935EE"/>
    <w:rsid w:val="119439A2"/>
    <w:rsid w:val="149B30C3"/>
    <w:rsid w:val="17372E0D"/>
    <w:rsid w:val="18091939"/>
    <w:rsid w:val="19540493"/>
    <w:rsid w:val="1D0A6937"/>
    <w:rsid w:val="286D63ED"/>
    <w:rsid w:val="34210CBB"/>
    <w:rsid w:val="39EC42CB"/>
    <w:rsid w:val="3AB865D7"/>
    <w:rsid w:val="3AEC796A"/>
    <w:rsid w:val="3CEB3F0E"/>
    <w:rsid w:val="3D4A148F"/>
    <w:rsid w:val="42EF2FFB"/>
    <w:rsid w:val="43AB7C4E"/>
    <w:rsid w:val="48BD21DD"/>
    <w:rsid w:val="4D01600E"/>
    <w:rsid w:val="516C7AAD"/>
    <w:rsid w:val="51BC7894"/>
    <w:rsid w:val="523225D8"/>
    <w:rsid w:val="557430F6"/>
    <w:rsid w:val="566B6D0E"/>
    <w:rsid w:val="58D96A4B"/>
    <w:rsid w:val="5A802C08"/>
    <w:rsid w:val="5ACA2AB5"/>
    <w:rsid w:val="5FDB2DB8"/>
    <w:rsid w:val="605A6DD9"/>
    <w:rsid w:val="67596F6A"/>
    <w:rsid w:val="72704397"/>
    <w:rsid w:val="7AD177CB"/>
    <w:rsid w:val="7CAE5460"/>
    <w:rsid w:val="7D5F6F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uiPriority="39" w:semiHidden="0" w:name="toc 3" w:locked="1"/>
    <w:lsdException w:qFormat="1" w:uiPriority="39" w:semiHidden="0" w:name="toc 4" w:locked="1"/>
    <w:lsdException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autoRedefine/>
    <w:qFormat/>
    <w:uiPriority w:val="0"/>
    <w:pPr>
      <w:snapToGrid w:val="0"/>
      <w:spacing w:beforeLines="100" w:afterLines="50" w:line="360" w:lineRule="auto"/>
      <w:jc w:val="center"/>
      <w:outlineLvl w:val="0"/>
    </w:pPr>
    <w:rPr>
      <w:rFonts w:ascii="黑体" w:eastAsia="黑体"/>
      <w:b/>
      <w:bCs/>
      <w:kern w:val="0"/>
      <w:sz w:val="28"/>
      <w:szCs w:val="28"/>
    </w:rPr>
  </w:style>
  <w:style w:type="character" w:default="1" w:styleId="18">
    <w:name w:val="Default Paragraph Font"/>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oc 7"/>
    <w:basedOn w:val="1"/>
    <w:next w:val="1"/>
    <w:autoRedefine/>
    <w:unhideWhenUsed/>
    <w:qFormat/>
    <w:locked/>
    <w:uiPriority w:val="39"/>
    <w:pPr>
      <w:ind w:left="2520" w:leftChars="1200"/>
    </w:pPr>
    <w:rPr>
      <w:rFonts w:asciiTheme="minorHAnsi" w:hAnsiTheme="minorHAnsi" w:eastAsiaTheme="minorEastAsia" w:cstheme="minorBidi"/>
      <w:szCs w:val="22"/>
    </w:rPr>
  </w:style>
  <w:style w:type="paragraph" w:styleId="4">
    <w:name w:val="toc 5"/>
    <w:basedOn w:val="1"/>
    <w:next w:val="1"/>
    <w:unhideWhenUsed/>
    <w:locked/>
    <w:uiPriority w:val="39"/>
    <w:pPr>
      <w:ind w:left="1680" w:leftChars="800"/>
    </w:pPr>
    <w:rPr>
      <w:rFonts w:asciiTheme="minorHAnsi" w:hAnsiTheme="minorHAnsi" w:eastAsiaTheme="minorEastAsia" w:cstheme="minorBidi"/>
      <w:szCs w:val="22"/>
    </w:rPr>
  </w:style>
  <w:style w:type="paragraph" w:styleId="5">
    <w:name w:val="toc 3"/>
    <w:basedOn w:val="1"/>
    <w:next w:val="1"/>
    <w:unhideWhenUsed/>
    <w:locked/>
    <w:uiPriority w:val="39"/>
    <w:pPr>
      <w:ind w:left="840" w:leftChars="400"/>
    </w:pPr>
    <w:rPr>
      <w:rFonts w:asciiTheme="minorHAnsi" w:hAnsiTheme="minorHAnsi" w:eastAsiaTheme="minorEastAsia" w:cstheme="minorBidi"/>
      <w:szCs w:val="22"/>
    </w:rPr>
  </w:style>
  <w:style w:type="paragraph" w:styleId="6">
    <w:name w:val="Plain Text"/>
    <w:basedOn w:val="1"/>
    <w:link w:val="35"/>
    <w:autoRedefine/>
    <w:qFormat/>
    <w:uiPriority w:val="0"/>
    <w:rPr>
      <w:rFonts w:ascii="宋体" w:hAnsi="Courier New"/>
      <w:szCs w:val="20"/>
    </w:rPr>
  </w:style>
  <w:style w:type="paragraph" w:styleId="7">
    <w:name w:val="toc 8"/>
    <w:basedOn w:val="1"/>
    <w:next w:val="1"/>
    <w:autoRedefine/>
    <w:unhideWhenUsed/>
    <w:qFormat/>
    <w:locked/>
    <w:uiPriority w:val="39"/>
    <w:pPr>
      <w:ind w:left="2940" w:leftChars="1400"/>
    </w:pPr>
    <w:rPr>
      <w:rFonts w:asciiTheme="minorHAnsi" w:hAnsiTheme="minorHAnsi" w:eastAsiaTheme="minorEastAsia" w:cstheme="minorBidi"/>
      <w:szCs w:val="22"/>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23"/>
    <w:autoRedefine/>
    <w:qFormat/>
    <w:uiPriority w:val="0"/>
    <w:pPr>
      <w:snapToGrid w:val="0"/>
      <w:ind w:right="210" w:rightChars="100"/>
      <w:jc w:val="right"/>
    </w:pPr>
    <w:rPr>
      <w:sz w:val="18"/>
      <w:szCs w:val="18"/>
    </w:rPr>
  </w:style>
  <w:style w:type="paragraph" w:styleId="10">
    <w:name w:val="header"/>
    <w:basedOn w:val="1"/>
    <w:link w:val="24"/>
    <w:autoRedefine/>
    <w:qFormat/>
    <w:uiPriority w:val="0"/>
    <w:pPr>
      <w:snapToGrid w:val="0"/>
      <w:jc w:val="left"/>
    </w:pPr>
    <w:rPr>
      <w:sz w:val="18"/>
      <w:szCs w:val="18"/>
    </w:rPr>
  </w:style>
  <w:style w:type="paragraph" w:styleId="11">
    <w:name w:val="toc 1"/>
    <w:basedOn w:val="1"/>
    <w:next w:val="1"/>
    <w:autoRedefine/>
    <w:qFormat/>
    <w:uiPriority w:val="39"/>
    <w:pPr>
      <w:tabs>
        <w:tab w:val="left" w:pos="735"/>
        <w:tab w:val="right" w:leader="dot" w:pos="9356"/>
      </w:tabs>
      <w:spacing w:beforeLines="25" w:afterLines="25"/>
      <w:jc w:val="left"/>
    </w:pPr>
    <w:rPr>
      <w:rFonts w:ascii="宋体"/>
      <w:szCs w:val="21"/>
    </w:rPr>
  </w:style>
  <w:style w:type="paragraph" w:styleId="12">
    <w:name w:val="toc 4"/>
    <w:basedOn w:val="1"/>
    <w:next w:val="1"/>
    <w:autoRedefine/>
    <w:unhideWhenUsed/>
    <w:qFormat/>
    <w:locked/>
    <w:uiPriority w:val="39"/>
    <w:pPr>
      <w:ind w:left="1260" w:leftChars="600"/>
    </w:pPr>
    <w:rPr>
      <w:rFonts w:asciiTheme="minorHAnsi" w:hAnsiTheme="minorHAnsi" w:eastAsiaTheme="minorEastAsia" w:cstheme="minorBidi"/>
      <w:szCs w:val="22"/>
    </w:rPr>
  </w:style>
  <w:style w:type="paragraph" w:styleId="13">
    <w:name w:val="toc 6"/>
    <w:basedOn w:val="1"/>
    <w:next w:val="1"/>
    <w:autoRedefine/>
    <w:unhideWhenUsed/>
    <w:qFormat/>
    <w:locked/>
    <w:uiPriority w:val="39"/>
    <w:pPr>
      <w:ind w:left="2100" w:leftChars="1000"/>
    </w:pPr>
    <w:rPr>
      <w:rFonts w:asciiTheme="minorHAnsi" w:hAnsiTheme="minorHAnsi" w:eastAsiaTheme="minorEastAsia" w:cstheme="minorBidi"/>
      <w:szCs w:val="22"/>
    </w:rPr>
  </w:style>
  <w:style w:type="paragraph" w:styleId="14">
    <w:name w:val="toc 2"/>
    <w:basedOn w:val="1"/>
    <w:next w:val="1"/>
    <w:autoRedefine/>
    <w:unhideWhenUsed/>
    <w:qFormat/>
    <w:locked/>
    <w:uiPriority w:val="39"/>
    <w:pPr>
      <w:ind w:left="420" w:leftChars="200"/>
    </w:pPr>
    <w:rPr>
      <w:rFonts w:asciiTheme="minorHAnsi" w:hAnsiTheme="minorHAnsi" w:eastAsiaTheme="minorEastAsia" w:cstheme="minorBidi"/>
      <w:szCs w:val="22"/>
    </w:rPr>
  </w:style>
  <w:style w:type="paragraph" w:styleId="15">
    <w:name w:val="toc 9"/>
    <w:basedOn w:val="1"/>
    <w:next w:val="1"/>
    <w:autoRedefine/>
    <w:unhideWhenUsed/>
    <w:qFormat/>
    <w:locked/>
    <w:uiPriority w:val="39"/>
    <w:pPr>
      <w:ind w:left="3360" w:leftChars="1600"/>
    </w:pPr>
    <w:rPr>
      <w:rFonts w:asciiTheme="minorHAnsi" w:hAnsiTheme="minorHAnsi" w:eastAsiaTheme="minorEastAsia" w:cstheme="minorBidi"/>
      <w:szCs w:val="22"/>
    </w:rPr>
  </w:style>
  <w:style w:type="table" w:styleId="17">
    <w:name w:val="Table Grid"/>
    <w:basedOn w:val="16"/>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Times New Roman" w:hAnsi="Times New Roman" w:eastAsia="宋体" w:cs="Times New Roman"/>
      <w:sz w:val="18"/>
    </w:rPr>
  </w:style>
  <w:style w:type="character" w:styleId="20">
    <w:name w:val="Hyperlink"/>
    <w:basedOn w:val="18"/>
    <w:autoRedefine/>
    <w:qFormat/>
    <w:uiPriority w:val="99"/>
    <w:rPr>
      <w:rFonts w:cs="Times New Roman"/>
      <w:color w:val="0000FF"/>
      <w:spacing w:val="0"/>
      <w:w w:val="100"/>
      <w:sz w:val="21"/>
      <w:szCs w:val="21"/>
      <w:u w:val="single"/>
    </w:rPr>
  </w:style>
  <w:style w:type="character" w:customStyle="1" w:styleId="21">
    <w:name w:val="标题 1 字符"/>
    <w:basedOn w:val="18"/>
    <w:link w:val="2"/>
    <w:autoRedefine/>
    <w:qFormat/>
    <w:locked/>
    <w:uiPriority w:val="0"/>
    <w:rPr>
      <w:rFonts w:ascii="黑体" w:hAnsi="Times New Roman" w:eastAsia="黑体" w:cs="Times New Roman"/>
      <w:b/>
      <w:bCs/>
      <w:kern w:val="0"/>
      <w:sz w:val="28"/>
      <w:szCs w:val="28"/>
    </w:rPr>
  </w:style>
  <w:style w:type="paragraph" w:customStyle="1" w:styleId="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3">
    <w:name w:val="页脚 字符"/>
    <w:basedOn w:val="18"/>
    <w:link w:val="9"/>
    <w:autoRedefine/>
    <w:qFormat/>
    <w:locked/>
    <w:uiPriority w:val="0"/>
    <w:rPr>
      <w:rFonts w:ascii="Times New Roman" w:hAnsi="Times New Roman" w:eastAsia="宋体" w:cs="Times New Roman"/>
      <w:sz w:val="18"/>
      <w:szCs w:val="18"/>
    </w:rPr>
  </w:style>
  <w:style w:type="character" w:customStyle="1" w:styleId="24">
    <w:name w:val="页眉 字符"/>
    <w:basedOn w:val="18"/>
    <w:link w:val="10"/>
    <w:autoRedefine/>
    <w:qFormat/>
    <w:locked/>
    <w:uiPriority w:val="0"/>
    <w:rPr>
      <w:rFonts w:ascii="Times New Roman" w:hAnsi="Times New Roman" w:eastAsia="宋体" w:cs="Times New Roman"/>
      <w:sz w:val="18"/>
      <w:szCs w:val="18"/>
    </w:rPr>
  </w:style>
  <w:style w:type="paragraph" w:customStyle="1" w:styleId="25">
    <w:name w:val="Char1"/>
    <w:basedOn w:val="1"/>
    <w:qFormat/>
    <w:uiPriority w:val="99"/>
  </w:style>
  <w:style w:type="character" w:customStyle="1" w:styleId="26">
    <w:name w:val="批注框文本 字符"/>
    <w:basedOn w:val="18"/>
    <w:link w:val="8"/>
    <w:autoRedefine/>
    <w:semiHidden/>
    <w:qFormat/>
    <w:uiPriority w:val="99"/>
    <w:rPr>
      <w:rFonts w:ascii="Times New Roman" w:hAnsi="Times New Roman"/>
      <w:sz w:val="18"/>
      <w:szCs w:val="18"/>
    </w:rPr>
  </w:style>
  <w:style w:type="paragraph" w:styleId="27">
    <w:name w:val="List Paragraph"/>
    <w:basedOn w:val="1"/>
    <w:autoRedefine/>
    <w:qFormat/>
    <w:uiPriority w:val="34"/>
    <w:pPr>
      <w:ind w:firstLine="420" w:firstLineChars="200"/>
    </w:pPr>
  </w:style>
  <w:style w:type="paragraph" w:customStyle="1" w:styleId="28">
    <w:name w:val="一级条标题"/>
    <w:next w:val="1"/>
    <w:autoRedefine/>
    <w:qFormat/>
    <w:uiPriority w:val="0"/>
    <w:pPr>
      <w:numPr>
        <w:ilvl w:val="2"/>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9">
    <w:name w:val="章标题"/>
    <w:next w:val="1"/>
    <w:qFormat/>
    <w:uiPriority w:val="0"/>
    <w:pPr>
      <w:numPr>
        <w:ilvl w:val="1"/>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二级条标题"/>
    <w:basedOn w:val="28"/>
    <w:next w:val="1"/>
    <w:autoRedefine/>
    <w:qFormat/>
    <w:uiPriority w:val="0"/>
    <w:pPr>
      <w:numPr>
        <w:ilvl w:val="3"/>
      </w:numPr>
      <w:spacing w:before="50" w:after="50"/>
      <w:outlineLvl w:val="3"/>
    </w:pPr>
  </w:style>
  <w:style w:type="paragraph" w:customStyle="1" w:styleId="31">
    <w:name w:val="三级条标题"/>
    <w:basedOn w:val="30"/>
    <w:next w:val="1"/>
    <w:autoRedefine/>
    <w:qFormat/>
    <w:uiPriority w:val="0"/>
    <w:pPr>
      <w:numPr>
        <w:ilvl w:val="4"/>
      </w:numPr>
    </w:pPr>
  </w:style>
  <w:style w:type="paragraph" w:customStyle="1" w:styleId="32">
    <w:name w:val="四级条标题"/>
    <w:basedOn w:val="31"/>
    <w:next w:val="1"/>
    <w:autoRedefine/>
    <w:qFormat/>
    <w:uiPriority w:val="0"/>
    <w:pPr>
      <w:numPr>
        <w:ilvl w:val="5"/>
      </w:numPr>
    </w:pPr>
  </w:style>
  <w:style w:type="paragraph" w:customStyle="1" w:styleId="33">
    <w:name w:val="五级条标题"/>
    <w:basedOn w:val="32"/>
    <w:next w:val="1"/>
    <w:autoRedefine/>
    <w:qFormat/>
    <w:uiPriority w:val="0"/>
    <w:pPr>
      <w:numPr>
        <w:ilvl w:val="6"/>
      </w:numPr>
      <w:outlineLvl w:val="6"/>
    </w:pPr>
  </w:style>
  <w:style w:type="paragraph" w:customStyle="1" w:styleId="34">
    <w:name w:val="列出段落1"/>
    <w:basedOn w:val="1"/>
    <w:autoRedefine/>
    <w:qFormat/>
    <w:uiPriority w:val="0"/>
    <w:pPr>
      <w:ind w:firstLine="420" w:firstLineChars="200"/>
    </w:pPr>
  </w:style>
  <w:style w:type="character" w:customStyle="1" w:styleId="35">
    <w:name w:val="纯文本 字符"/>
    <w:basedOn w:val="18"/>
    <w:link w:val="6"/>
    <w:qFormat/>
    <w:uiPriority w:val="0"/>
    <w:rPr>
      <w:rFonts w:ascii="宋体" w:hAnsi="Courier New"/>
      <w:szCs w:val="20"/>
    </w:rPr>
  </w:style>
  <w:style w:type="paragraph" w:customStyle="1" w:styleId="36">
    <w:name w:val="Char"/>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8B1F7-F952-48A7-BAF0-C2E739F27F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1302</Words>
  <Characters>7426</Characters>
  <Lines>61</Lines>
  <Paragraphs>17</Paragraphs>
  <TotalTime>9</TotalTime>
  <ScaleCrop>false</ScaleCrop>
  <LinksUpToDate>false</LinksUpToDate>
  <CharactersWithSpaces>8711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2019-01-25T05:58:00Z</dcterms:created>
  <dc:creator>User</dc:creator>
  <cp:lastModifiedBy>刘桂良</cp:lastModifiedBy>
  <cp:lastPrinted>2019-11-04T09:38:00Z</cp:lastPrinted>
  <dcterms:modified xsi:type="dcterms:W3CDTF">2024-02-22T03:56:10Z</dcterms:modified>
  <dc:title>锅炉项目技术规范书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24AB2804D6AD415ABA7445B814F5D03E_13</vt:lpwstr>
  </property>
</Properties>
</file>